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P/15176/2023 vom 28. Dezember 2023</w:t>
      </w:r>
    </w:p>
    <w:p>
      <w:r>
        <w:t>GE Cour de justice, 2023-12-28, FR</w:t>
      </w:r>
    </w:p>
    <w:p>
      <w:r>
        <w:rPr>
          <w:b/>
        </w:rPr>
        <w:t xml:space="preserve">Quelle: </w:t>
      </w:r>
      <w:r>
        <w:t>https://mcp.opencaselaw.ch/entscheid/ge_gerichte_P_15176_2023</w:t>
      </w:r>
    </w:p>
    <w:p>
      <w:r>
        <w:t>FR: GE_GERICHTE P/15176/2023 du 28 décembre 2023</w:t>
      </w:r>
    </w:p>
    <w:p>
      <w:r>
        <w:t>IT: GE_GERICHTE P/15176/2023 del 28 dicembre 2023</w:t>
      </w:r>
    </w:p>
    <w:p>
      <w:pPr>
        <w:pStyle w:val="Heading2"/>
      </w:pPr>
      <w:r>
        <w:t>Regeste</w:t>
      </w:r>
    </w:p>
    <w:p>
      <w:r>
        <w:t>MESURE DE SUBSTITUTION À LA DÉTENTION;RISQUE DE RÉCIDIVE | CPP.221; CPP.237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Après le dépôt du recours, les mesures de substitution litigieuses ont été prolongées jusqu'au 20 juillet 2024. Cette décision ultérieure se fonde sur des motifs analogues à ceux retenus dans l'ordonnance attaquée, de sorte que le recourant conserve un intérêt actuel et pratique au sens de l'art. 382 al. 1 CPP à l'examen de ses griefs (comp. avec l'arrêt du Tribunal fédéral 1B_134/2022 du 19 avril 2022 consid. 1 [art. 81 al. 1 let. a et b ch. 1 LTF] ; cf. aussi ACPR/430/2022 du 16 juin 2022 consid. 1 et ACPR/18/2022 du 13 janvier 2022 consid. 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ne conteste pas l'existence de charges suffisantes et graves retenues dans l'ordonnance querellée, de sorte qu'il peut être renvoyé, en tant que de besoin, à la motivation adoptée par le premier juge (art. 82 al. 4 CPP); ACPR/747/2020 du 22 octobre 2020 consid. 2 et les références), qui expose les indices graves et concordants pesant sur lui. ![endif]&gt;![if&gt;</w:t>
      </w:r>
    </w:p>
    <w:p>
      <w:r>
        <w:rPr>
          <w:b/>
        </w:rPr>
        <w:t>E. 4</w:t>
      </w:r>
    </w:p>
    <w:p>
      <w:r>
        <w:t>Le recourant conteste tout risque de réitération.![endif]&gt;![if&gt;</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4.2</w:t>
      </w:r>
    </w:p>
    <w:p>
      <w:r>
        <w:t>En l'espèce, contrairement à ce qu'affirme le recourant, aucun élément n'est intervenu qui serait de nature à modifier l'appréciation du risque de récidive retenu par le TMC dans ses décisions des 14 et 21 juillet 2023 – et qu'il conteste pour la première fois –. Le rapport de la BCI du 26 juillet 2023 a confirmé le téléchargement de 280 fichiers à caractère pédopornographique dans le téléphone portable du recourant, sur une période d'une année et demie et pas seulement le soir ou le samedi matin, comme allégué, mais à des dates et horaires variés. En dépit de l'absence d'antécédents spécifiques, une telle intensité délictuelle est à considérer avec le fait que le recourant n'a pas hésité à diffuser ces contenus, y compris des images de la fille mineure de son ami dans le cadre d'un scénario visant à permettre à des inconnus de faire subir un acte sexuel à celle qu'il a présentée comme sa fille. Il est ainsi prématuré, à ce stade, d'exclure le risque de récidive au motif que le recourant serait désormais abstinent à l'alcool et a entrepris un suivi thérapeutique – somme toute très récemment –. En outre, l'avis de son médecin ne saurait remplacer les résultats de l'expertise psychiatrique – nécessaires pour permettre de déterminer l'existence d'un trouble mental, son éventuelle dangerosité et le cas échéant, les mesures à mettre en place. Il existe donc un risque concret de réitération, sans qu'il ne soit nécessaire, en l'état, de se prononcer sur un éventuel risque de passage à l'acte.</w:t>
      </w:r>
    </w:p>
    <w:p>
      <w:r>
        <w:rPr>
          <w:b/>
        </w:rPr>
        <w:t>E. 5</w:t>
      </w:r>
    </w:p>
    <w:p>
      <w:r>
        <w:t>Le recourant se plaint d'une violation du principe de la proportionnalité.</w:t>
      </w:r>
    </w:p>
    <w:p>
      <w:r>
        <w:rPr>
          <w:b/>
        </w:rPr>
        <w:t>E. 5.1</w:t>
      </w:r>
    </w:p>
    <w:p>
      <w:r>
        <w:t>Pour être conforme au principe de la proportionnalité, une restriction d'un droit fondamental doit être apte à produire les résultats escomptés (règle de l'aptitude), et il faut que ceux-ci ne puissent pas être obtenus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147 IV 145 consid. 2.4.1; ATF 143 I 403 consid. 5.6.3). En vertu du principe de proportionnalité ancré à l'art. 36 al. 3 Cst., l'autorité doit tenter autant que possible de substituer à la détention toute autre mesure moins incisive propre à atteindre le même résultat (ATF 133 I 270 consid. 2.2). Le Code de procédure pénale le prévoit expressément à l'art. 237, en énumérant, de manière non exhaustive (cf. ATF 142 IV 367 consid. 2.1), certaines mesures de substitution, notamment l'interdiction de se rendre dans un certain lieu ou un certain immeuble (let. c) ou l'interdiction d'entretenir des relations avec certaines personnes (let. g).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 loi (arrêt du Tribunal fédéral 1B_485/2019 du 12 novembre 2019 consid. 3.1).</w:t>
      </w:r>
    </w:p>
    <w:p>
      <w:r>
        <w:rPr>
          <w:b/>
        </w:rPr>
        <w:t>E. 5.2</w:t>
      </w:r>
    </w:p>
    <w:p>
      <w:r>
        <w:t>En l'espèce, le prévenu considère que les mesures querellées sont inaptes à atteindre le but fixé. Il ne peut être suivi. La mesure d'éloignement partiel de sa famille – proposée encore plus strictement par le recourant lui-même – est nécessaire, en l'état, pour pallier le risque de récidive retenu, étant rappelé qu'il lui est reproché des actes – répétés – de pédopornographie, qu'il est père de deux enfants mineurs et que, dans son scénario, il proposait " d'offrir " notamment " sa " fille à des inconnus. A cet égard, il importe peu que le scénario n'ait finalement pas été réalisé, ni que le matériel pédopornographique fût téléchargé avec son téléphone portable. S'agissant de l'atteinte aux intérêts du recourant engendrée par les mesures de substitution critiquées, on ne voit pas qu'elle soit plus intense aujourd'hui que lors du prononcé de ces allègements auxquels il a lui-même souscrit. L'obligation de prendre un domicile séparé chez sa mère et l'interdiction d'être seul avec ses enfants restent conformes à la règle de la nécessité du principe de la proportionnalité, le risque de récidive ne pouvant être pallié par des mesures moins incisives. Le principe de la proportionnalité au sens étroit est aussi respecté puisque les mesures litigieuses portent une atteinte limitée au prévenu – par rapport à la détention provisoire –. Partant, c'est à juste titre que le TMC a refusé la levée partielle des mesures de substitution dont le recourant fait l'objet.</w:t>
      </w:r>
    </w:p>
    <w:p>
      <w:r>
        <w:rPr>
          <w:b/>
        </w:rPr>
        <w:t>E. 6</w:t>
      </w:r>
    </w:p>
    <w:p>
      <w:r>
        <w:t>. Le recours s'avère ainsi infondé et doit être rejeté.</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le recours est le premier à être dirigé contre les mesures de substitution de sorte que l'on peut admettre qu'il ne procède pas d'un abus. L’indemnité du défenseur d’office sera cependant fixée à la fin de la procédure (art. 135 al. 2 CPP).</w:t>
      </w:r>
    </w:p>
    <w:p>
      <w:r>
        <w:rPr>
          <w:b/>
        </w:rPr>
        <w:t>E. 8</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