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P/15156/2016 vom 6. November 2020</w:t>
      </w:r>
    </w:p>
    <w:p>
      <w:r>
        <w:t>GE Cour de justice, 2020-11-06, FR</w:t>
      </w:r>
    </w:p>
    <w:p>
      <w:r>
        <w:rPr>
          <w:b/>
        </w:rPr>
        <w:t xml:space="preserve">Quelle: </w:t>
      </w:r>
      <w:r>
        <w:t>https://mcp.opencaselaw.ch/entscheid/ge_gerichte_P_15156_2016</w:t>
      </w:r>
    </w:p>
    <w:p>
      <w:r>
        <w:t>FR: GE_GERICHTE P/15156/2016 du 6 novembre 2020</w:t>
      </w:r>
    </w:p>
    <w:p>
      <w:r>
        <w:t>IT: GE_GERICHTE P/15156/2016 del 6 novembre 2020</w:t>
      </w:r>
    </w:p>
    <w:p>
      <w:pPr>
        <w:pStyle w:val="Heading2"/>
      </w:pPr>
      <w:r>
        <w:t>Regeste</w:t>
      </w:r>
    </w:p>
    <w:p>
      <w:r>
        <w:t>DIFFAMATION;INJURE;LIBERTE SYNDICALE;CONTRAINTE(DROIT PÉNAL);MENACE(DROIT PÉNAL);FRAIS DE LA PROCÉDURE | CP.173; CP.177; CP.181; CP.180; CO.49; CPP.420.al2</w:t>
      </w:r>
    </w:p>
    <w:p>
      <w:pPr>
        <w:pStyle w:val="Heading2"/>
      </w:pPr>
      <w:r>
        <w:t>Erwägungen</w:t>
      </w:r>
    </w:p>
    <w:p>
      <w:r>
        <w:rPr>
          <w:b/>
        </w:rPr>
        <w:t>E. 1.1</w:t>
      </w:r>
    </w:p>
    <w:p>
      <w:r>
        <w:t>Les appels principaux sont recevables pour avoir été interjetés et motivés selon la forme et dans les délais prescrits (art. 398 et 399 du code de procédure pénale [CPP]). 1.2.1. Aux termes de l'art. 401 al. 2 CPP, l'appel joint n'est pas limité à l'appel principal, sauf si celui-ci porte exclusivement sur les conclusions civiles du jugement.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(ATF 140 IV 92 consid. 2). 1.2.2. En l'espèce, A______ a remis en cause la culpabilité des trois prévenus dans son appel, en lien avec les chiffres B.I.1 à B.II.3 de l'acte d'accusation, correspondant aux événements survenus lors de la manifestation. Sans préjuger de la réalisation des infractions pénales reprochées, il est directement lésé par les actes dénoncés dès lors qu'il était présent lors des faits et que les passants et clients de son restaurant ont pu comprendre qu'il était visé par les revendications [du syndicat] G______ (cf. infra consid. 2.7). L'appel joint de D______ est donc recevable quand bien même il ne recoupe pas entièrement celui de son frère, dès lors qu'il vise les mêmes prévenus. Il en va à plus forte raison de même de l'appel joint formé par E______. Rien ne s'oppose pour le surplus à la recevabilité des conclusions prises contre ce dernier par les parties plaignantes. Il n'est en particulier pas démontré que les frais de défense de D______ auraient été assumés par sa société, ce qui ne résulte pas du seul fait qu'il s'y est fait envoyer les notes d'honoraires de son avocat.</w:t>
      </w:r>
    </w:p>
    <w:p>
      <w:r>
        <w:rPr>
          <w:b/>
        </w:rPr>
        <w:t>E. 1.3</w:t>
      </w:r>
    </w:p>
    <w:p>
      <w:r>
        <w:t>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Selon l'art. 173 ch. 1 CP, se rend coupable de diffamation, infraction poursuivie sur plainte, et est punissable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Est en principe considérée comme tiers toute personne autre que l'auteur et l'objet des propos qui portent atteinte à l'honneur (ATF 145 IV 462 consid. 4.3.3). L'inculpé n'encourra aucune peine s'il prouve que les allégations qu'il a articulées ou propagées sont conformes à la vérité ou qu'il avait des raisons sérieuses de les tenir de bonne foi pour vraies (art. 173 ch. 2 CP). 2.2.2. Si l'auteur de l'atteinte à l'honneur connaît la fausseté de ses allégations, il se rend coupable de calomnie, punie sur plainte d'une peine privative de liberté de trois ans au plus ou d'une peine pécuniaire (art. 174 ch. 1 CP). 2.2.3. A la diffamation et à la calomnie verbales sont assimilées la diffamation et la calomnie par l'écriture, l'image, le geste, ou par tout autre moyen (art. 176 CP). 2.2.4. Celui qui, de toute autre manière, aura, par la parole, l'écriture, l'image, le geste ou par des voies de fait, attaqué autrui dans son honneur, se rend coupable d'injure et sera, sur plainte, puni d'une peine pécuniaire de 90 jours-amende au plus (art. 177 al. 1 CP).</w:t>
      </w:r>
    </w:p>
    <w:p>
      <w:r>
        <w:rPr>
          <w:b/>
        </w:rPr>
        <w:t>E. 2.3</w:t>
      </w:r>
    </w:p>
    <w:p>
      <w:r>
        <w:t>Selon l'art. 30 al. 1 CP, si une infraction n'est punie que sur plainte, toute personne lésée peut porter plainte contre l'auteur. On entend par lésé toute personne dont les droits ont été touchés directement par une infraction (art. 115 al. 1 CPP).</w:t>
      </w:r>
    </w:p>
    <w:p>
      <w:r>
        <w:rPr>
          <w:b/>
        </w:rPr>
        <w:t>E. 2.4</w:t>
      </w:r>
    </w:p>
    <w:p>
      <w:r>
        <w:t>Les normes pénales protègent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 arrêt du Tribunal fédéral 6B_6/2015 du 23 mars 2016 consid. 2.2 et 3.3). Dans le domaine des activités socio-professionnelles, il ne suffit ainsi pas de dénier à une personne certaines qualités, de lui imputer des défauts ou de l'abaisser par rapport à ses concurrents. Il y a en revanche atteinte à l'honneur, même dans ces domaines, si on évoque une infraction pénale ou un comportement clairement réprouvé par les conceptions morales généralement admises (arrêt du Tribunal fédéral 6B_226/2019 du 29 mars 2019 consid. 3.3 ; ATF 116 IV 205 consid. 2 et 103 IV 161 consid. 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w:t>
      </w:r>
    </w:p>
    <w:p>
      <w:r>
        <w:rPr>
          <w:b/>
        </w:rPr>
        <w:t>E. 2.5</w:t>
      </w:r>
    </w:p>
    <w:p>
      <w:r>
        <w:t>Alors que la diffamation suppose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(ATF 128 IV 53 consid. 1f/aa).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il faut se demander, en fonction des circonstances, si les termes litigieux ont un rapport reconnaissable avec un fait ou sont employés pour exprimer le mépris. Lorsque le jugement de valeur et l'allégation de faits sont liés, on parle de jugement de valeur mixte (ATF 74 IV 98 consid. 2 ; 79 IV 20 consid. 2 ; arrêt du Tribunal fédéral 6B_119/2017 consid. 3.1 du 12 décembre 2017).</w:t>
      </w:r>
    </w:p>
    <w:p>
      <w:r>
        <w:rPr>
          <w:b/>
        </w:rPr>
        <w:t>E. 2.6</w:t>
      </w:r>
    </w:p>
    <w:p>
      <w:r>
        <w:t>Les membres d'un syndicat doivent pouvoir exprimer devant l'employeur leurs revendications tendant à améliorer la situation des travailleurs au sein de leur entreprise. C'est pourquoi, en vue d'assurer le caractère réel et effectif des droits syndicaux, les autorités nationales doivent veiller à ce que des sanctions disproportionnées ne dissuadent pas les représentants syndicaux de chercher à exprimer et défendre les intérêts de leurs membres. Une distinction claire doit cependant être faite entre critique et insulte, cette dernière pouvant, en principe, justifier des sanctions. Par conséquent, lorsque l'autorité est appelée à examiner des propos tenus par des responsables d'un syndicat, en rapport avec la situation professionnelle de l'un de ses membres, elle devra rechercher si les propos en cause ont revêtu un caractère vexatoire et blessant qui aurait excédé les limites convenables de la polémique syndicale (arrêt du Tribunal fédéral 6B_1020/2018 du 1 er juillet 2019 consid. 5.1.3 ; arrêts de la CourEDH Palomo Sanchez et autres c. Espagne du 12 septembre 2011, §§ 56 et 67 et Vellutini et Michel c. France du 6 octobre 2011, § 39).</w:t>
      </w:r>
    </w:p>
    <w:p>
      <w:r>
        <w:rPr>
          <w:b/>
        </w:rPr>
        <w:t>E. 2.7</w:t>
      </w:r>
    </w:p>
    <w:p>
      <w:r>
        <w:t>En l'espèce, les messages diffusés au moyen de la banderole déployée, des slogans scandés et des tracts distribués lors de la manifestation du 23 juin 2016 visaient certes avant tout D______ et son entreprise. L'événement a cependant pris place devant le restaurant H______, détenu et géré de fait par son frère. Comme cela ressort des déclarations des passants et clients entendus, eu égard au lieu choisi, au patronyme commun des parties plaignantes, dont les tiers présents pouvaient ignorer les prénoms, et à l'agitation caractérisant un tel événement, les manifestants ont paru adresser leurs revendications également, sinon exclusivement à A______. Il n'est certes pas exclu que les syndicalistes aient sincèrement espéré la présence de D______ et souhaité mettre en évidence ses anciens liens avec le restaurant, ou encore ses liens actuels avec l'autre associé de K______ Sàrl. Ils ne pouvaient cependant pas ignorer l'évident risque de confusion avec son frère, qu'ils ont forcément accepté et voulu. Ils ont même désigné dans leur tract la "famille" N______/A______/M_______ comme usant du procédé dénoncé, consistant à mettre successivement en faillite les entreprises employeurs pour faire échec aux demandes en paiement des salaires dus. Il est ainsi établi que les prévenus ont consciemment donné l'impression de dénoncer aussi bien D______ que A______ comme employeurs ne payant pas suffisamment leurs employés et usant du système précité pour se mettre à l'abri de toute action judiciaire. Dans la perspective d'un observateur neutre, les parties plaignantes étaient visées personnellement. Les tiers présents n'ont à l'évidence pas pu considérer que l'action syndicale s'adressait en réalité aux sociétés qu'ils géraient, soit K______ Sàrl, dont ils ignoraient certainement l'existence, et I______, celle-ci n'apparaissant que comme l'instrument de D______ dans les revendications du syndicat. Les parties plaignantes sont donc bien toutes deux lésées personnellement par les faits dénoncés, pour lesquels elles ont porté plainte, de sorte qu'il n'existait pas d'empêchement de procéder justifiant un classement partiel de la procédure en première instance (art. 329 al. 1 let. c CPP). Le jugement querellé sera corrigé dans ce sens.</w:t>
      </w:r>
    </w:p>
    <w:p>
      <w:r>
        <w:rPr>
          <w:b/>
        </w:rPr>
        <w:t>E. 2.8</w:t>
      </w:r>
    </w:p>
    <w:p>
      <w:r>
        <w:t>Le message ressortant des revendications syndicales consiste à reprocher aux parties plaignantes de ne pas verser les salaires dus et d'avoir tendance à mettre leurs sociétés en faillite lorsque les travailleurs font valoir des prétentions à cet égard. Les prévenus ne s'en sont de la sorte pas pris à leurs qualités humaines. La dénonciation syndicale s'est en effet limitée à leurs supposés manquements au titre d'employeur et ainsi à attenter à leur réputation professionnelle. Elle n'a pas évoqué un comportement moralement et généralement réprouvé ni la commission d'une infraction pénale. Liquider une société pour en transférer le patrimoine et l'activité ainsi que ne pas respecter le montant des salaires minimaux ne sont en effet pas contraires au droit pénal sur le principe, bien que cela puisse être constitutif de crime ou délit dans la faillite et la poursuite pour dettes (art. 163 ss CP) ou d'usure (art. 157 CP), dans certaines circonstances non évoquées en l'espèce. 2.9.1. Il en va différemment de la référence à la mafia, à un système mafieux ou à une famille de mafia. La mafia est en effet définie comme une association secrète d'origine sicilienne servant des intérêts privés par des moyens illicites et recourant à la violence ( Petit Robert ), comme une bande ou une association secrète de malfaiteurs ( Larousse ) ou une association généralement clandestine et redoutable d'individus dénués de scrupules ( Centre national de ressources textuelles et lexicale ). Aux yeux d'un observateur moyen, une telle référence évoque ainsi forcément un comportement moralement réprouvé, si ce n'est la commission d'infractions contre l'intégrité physique et la liberté. Elle est donc intrinsèquement attentatoire à l'honneur au sens du droit pénal. 2.9.2. Il ressort du dossier que durant la manifestation, des slogans se sont référés à la "mafia" ou à une "famille mafieuse" . Les témoignages recueillis à ce sujet sont cependant trop imprécis pour permettre d'imputer l'emploi de ces termes à l'un des prévenus, qui n'étaient pas seuls à manifester. Il n'est pas non plus établi que l'un d'eux ait prévu, encouragé ou cautionné la référence à la notion de mafia. La banderole et les tracts n'en faisaient aucune mention et il ne résulte pas des déclarations des deux journalistes que ce terme ait été utilisé lors de la conférence de presse. Quand bien même l'un ou plusieurs prévenus auraient entendu quelqu'un en faire usage, ce qui est probable, il ne peut pas être inféré de leur seule présence sur place, nécessaire à la tenue de l'événement, qu'ils y auraient adhéré sans réserve. 2.9.3. Il résulte en revanche du témoignage de V______ que C______ a évoqué auprès d'elle, le jour des faits, la mise en place d'un véritable "système de mafia organisée" par D______. La journaliste a confirmé que les propos retranscrits dans son article reflétaient forcément l'objet d'une discussion avec son collègue syndicaliste en marge de la manifestation et exclu toute confusion avec un autre événement. Il ne ressort par contre ni du témoignage précité ni de toute autre élément du dossier que les deux autres prévenus auraient également évoqué auprès de la journaliste les termes visés, voulu que C______ en fasse usage ou adhéré à cela. Cela ne peut en particulier pas être inféré du fait qu'ils n'auraient pas demandé le retrait de l'article en cause avant d'en recevoir la demande par le conseil de D______. Il ne leur est pour le surplus pas reproché l'usage d'autres termes attentatoires à l'honneur au sens du droit pénal.</w:t>
      </w:r>
    </w:p>
    <w:p>
      <w:r>
        <w:rPr>
          <w:b/>
        </w:rPr>
        <w:t>E. 2.10</w:t>
      </w:r>
    </w:p>
    <w:p>
      <w:r>
        <w:t>Ainsi que cela ressort du témoignage de la journaliste et du contenu de son article, le rapport entre le système mafieux évoqué et le procédé reproché à la partie plaignante, consistant à liquider ses sociétés pour faire échec à toute action judiciaire de leurs employés, était parfaitement reconnaissable. Or, comme vu ci-avant, faute de références mêmes implicites à des éléments constitutifs d'une infraction pénale en matière de faillite et de poursuite pour dettes, l'allégation de fait en lien avec le système qualifié de mafieux par le syndicaliste n'est pas diffamatoire au sens des art. 173 et 174 CP. Eu égard à la protection de la liberté d'expression exercée par un syndicat pour défendre les intérêts professionnels de leurs membres, l'on doit certes s'attendre et donc tolérer dans une manifestation comme celle en cause certaines simplifications et exagérations pour rendre le message diffusé plus percutant. Il en va ainsi par exemple de la qualification péremptoire de la partie plaignante d'expert des faillites en cascade ou l'utilisation d'un slogan ou d'une banderole suggérant qu'elle ne verse aucun salaire à ses employés. La référence à un système de mafia organisée dépasse en revanche ce qui peut être toléré dans un contexte où il est principalement reproché à un employeur, qui n'est pas un personnage public, de ne pas respecter les salaires minimaux prévus par la convention collective applicable et d'être prêt à liquider sa société en cas d'action en justice contre elle. En faisant allusion au recours à une association criminelle, qui plus est à l'égard d'un employeur lié à des membres de sa fratrie dans le cadre de ses différentes activités professionnelles, le prévenu C______ a donc blessé et vexé la partie plaignante dans une mesure excédant les limites convenables de la polémique syndicale. Les membres du syndicat en avaient d'ailleurs conscience, dans la mesure où chacun a déclaré que dans le cas d'espèce, l'utilisation de toute référence à la mafia était réservée à un usage interne et n'était pas supposée survenir durant la manifestation ou en conférence de presse.</w:t>
      </w:r>
    </w:p>
    <w:p>
      <w:r>
        <w:rPr>
          <w:b/>
        </w:rPr>
        <w:t>E. 2.11</w:t>
      </w:r>
    </w:p>
    <w:p>
      <w:r>
        <w:t>Au vu de ce qui précède, les prévenus seront acquittés des chefs de calomnie, diffamation et injure en rapport avec le chiffre B.I.1 de l'acte d'accusation. En relation avec le chiffre B.I.2, l'acquittement de E______ et F______ et la condamnation de C______ du chef d'injure seront confirmés.</w:t>
      </w:r>
    </w:p>
    <w:p>
      <w:r>
        <w:rPr>
          <w:b/>
        </w:rPr>
        <w:t>E. 3</w:t>
      </w:r>
    </w:p>
    <w:p>
      <w:r>
        <w:t>3.1. 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La contrainte est une infraction de résultat. Pour qu'elle soit consommée, il faut que la victime, sous l'effet de moyens de contrainte illicites, commence à modifier son comportement, subissant ainsi l'influence voulue par l'auteur (arrêt du Tribunal fédéral 6B_719/2015 du 4 mai 2016 consid. 2.1).</w:t>
      </w:r>
    </w:p>
    <w:p>
      <w:r>
        <w:rPr>
          <w:b/>
        </w:rPr>
        <w:t>E. 3.2</w:t>
      </w:r>
    </w:p>
    <w:p>
      <w:r>
        <w:t>En l'espèce, nonobstant les constats de la police à ce sujet, il résulte des témoignages que la manifestation a obstrué pour le moins un certain moment l'accès principal à la terrasse du restaurant, sans toutefois empêcher les clients de passer par les côtés. Certains d'entre eux ont en outre été invités à ne pas payer leurs consommations. Cela a forcément entravé le service de midi de l'établissement et entraîné une baisse de son chiffre d'affaires. Il n'est en revanche pas établi que les prévenus aient influé et encore moins voulu influer de quelconque manière sur le comportement de la partie plaignante, notamment en pénétrant dans l'établissement pour l'empêcher de faire son travail au titre de responsable du restaurant. Elle n'a ainsi pas été entravée dans sa liberté. L'acte d'accusation ne vise pas pour le surplus une contrainte à l'égard des clients, empêchés d'entrer sur la terrasse ou forcés à un détour, ni d'instigation à filouterie d'auberge au préjudice de K______ Sàrl, laquelle n'a de toute manière pas porté plainte (art. 149 CP). L'acquittement des prévenus du chef de contrainte sera donc confirmé (ch. B.II.3).</w:t>
      </w:r>
    </w:p>
    <w:p>
      <w:r>
        <w:rPr>
          <w:b/>
        </w:rPr>
        <w:t>E. 4</w:t>
      </w:r>
    </w:p>
    <w:p>
      <w:r>
        <w:t>4.1. L'art. 180 al. 1 CP punit, sur plainte, celui qui aura alarmé ou effrayé une personne par une menace grave. C'est le cas si elle est objectivement de nature à alarmer ou à effrayer la victime. Il convient à cet égard de tenir compte de la réaction qu'aurait une personne raisonnable face à une situation identique (ATF 122 IV 97 consid. 2b). Le juge doit tenir compte de l'ensemble de la situation (ATF 99 IV 212 consid. 1a). Il devrait en tous les cas l'exclure lorsque le préjudice annoncé est objectivement trop peu important pour que la répression pénale soit justifiée (arrêt du Tribunal fédéral 6B_1428/2016 du 3 octobre 2017 consid. 2.1).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La menace est punissable seulement si elle est contraire au droit, ce qui n'est en principe pas le cas lorsque l'événement annoncé consiste en un acte licite, sauf s'il apparaît disproportionné ou infondé (A. MACALUSO / L. MOREILLON / N. QUELOZ (éds), Commentaire romand , Code pénal II, vol. II, Partie spéciale : art. 111-392 CP , Bâle 2017, n. 15 ad art. 180 CP ; M. NIGGLI / H. WIPRÄCHTIGER, Basler Kommentar Strafrecht II : Art. 111-392 StGB , Bâle 2019, n. 28 ad art. 180 CP).</w:t>
      </w:r>
    </w:p>
    <w:p>
      <w:r>
        <w:rPr>
          <w:b/>
        </w:rPr>
        <w:t>E. 4.2</w:t>
      </w:r>
    </w:p>
    <w:p>
      <w:r>
        <w:t>En l'espèce, les déclarations imputées à E______, soit "Vous ne savez pas qui nous sommes, vous allez payer très cher" , ne sont pas démontrées à satisfaction de droit, dans la mesure où seul un témoin confirme les avoir entendues, sans toutefois les attribuer à l'un des prévenus. De telles paroles, prononcées dans le contexte d'une manifestation syndicale et ne faisant pas d'allusion même implicite à la survenance d'un préjudice concret, ne seraient en tout état pas propres à alarmer la partie plaignante. Le courrier du 29 juin 2016 n'est pas non plus constitutif de menaces. La tenue d'une conférence de presse ne représente en effet pas un préjudice assez grave pour être susceptible d'alarmer une personne raisonnable. Elle consiste en outre en un acte licite, qui n'apparaît ni infondé ni disproportionné dans le cas d'espèce au vu des doléances des ouvriers défendus par G______. L'acquittement des prévenus du chef de menaces sera dès lors confirmé (ch. B.III.4 et 5 de l'acte d'accusation).</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 À ces composantes de la culpabilité, il faut ajouter les facteurs liés à l'auteur lui-même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5.2</w:t>
      </w:r>
    </w:p>
    <w:p>
      <w:r>
        <w:t>Sauf disposition contraire de la loi, la peine pécuniaire ne peut excéder 360 jours-amende. Le juge fixe leur nombre en fonction de la culpabilité de l'auteur (art. 34 al. 1 aCP).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Au vu de la quotité de la peine examinée, soit 30 jours-amende, le nouveau droit n'apparaît pas plus favorable au prévenu de sorte que son application au titre de lex mitior n'entre pas en considération (art. 2 al. 2 CP).</w:t>
      </w:r>
    </w:p>
    <w:p>
      <w:r>
        <w:rPr>
          <w:b/>
        </w:rPr>
        <w:t>E. 5.3</w:t>
      </w:r>
    </w:p>
    <w:p>
      <w:r>
        <w:t>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w:t>
      </w:r>
    </w:p>
    <w:p>
      <w:r>
        <w:rPr>
          <w:b/>
        </w:rPr>
        <w:t>E. 5.4</w:t>
      </w:r>
    </w:p>
    <w:p>
      <w:r>
        <w:t>En l'espèce, la faute du prévenu C______ est moyennement grave. Il a certes utilisé un terme virulent et blessant, mais dans le cadre d'une polémique syndicale. Il s'est adressé à une journaliste interne qu'il considérait comme sa collègue, hors conférence de presse, de sorte qu'il n'était pas certain que son propos serait retranscrit et aurait ainsi un écho dépassant le cercle des membres du syndicat. Sa collaboration ne peut pas être qualifiée de bonne dans la mesure où il a contesté les faits et cherché à en rejeter la responsabilité sur la journaliste, suggérant une confusion ou une erreur d'appréciation de sa part dans son choix de publier les propos incriminés. Il résulte toutefois de sa position qu'il a pris conscience de sa faute, en admettant l'inadmissibilité d'une référence publique à un système mafieux dans le contexte en cause, quand bien même il continue de penser que l'utiliser à l'interne serait acceptable. Son antécédent date de neuf ans et n'est pas spécifique. Plus de quatre ans se sont écoulés depuis les faits, de sorte que l'infraction serait aujourd'hui prescrite au regard des règles spécifiques aux délits contre l'honneur (art. 178 et 48 let. e CP). Au vu de ces éléments, la peine pécuniaire prononcée par le premier juge apparaît trop élevée et sera réduite à 20 jours-amende. Seront pour le surplus confirmés le montant du jour-amende, en adéquation avec la situation financière du prévenu, l'octroi du sursis, le pronostic n'étant pas défavorable, et la durée du délai d'épreuve, fixée au minimum légal.</w:t>
      </w:r>
    </w:p>
    <w:p>
      <w:r>
        <w:rPr>
          <w:b/>
        </w:rPr>
        <w:t>E. 6</w:t>
      </w:r>
    </w:p>
    <w:p>
      <w:r>
        <w:t>6.1. En qualité de partie plaignante, le lésé peut faire valoir des conclusions civiles déduites de l'infraction par adhésion à la procédure pénale (art. 122 al. 1 CPP). Le juge statue sur celles-ci lorsqu'il rend un verdict de culpabilité à l'encontre du prévenu (art. 126 al. 1 let. a CPP) ou lorsqu'il l'acquitte et que l'état de fait est suffisamment établi (let.b). 6.2.1. Aux termes de l'art. 28 du code civil suisse (CC - RS 210),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6.2.2. Sous l'angle de l'honneur, cette disposition protège le sentiment qu'une personne a de sa propre dignité ( "honneur interne" ), ainsi que toutes les qualités nécessaires à une personne pour être respectée dans son milieu social ( "honneur externe" ).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(ATF 129 III 49 consid. 2.2 ; 127 III 481 consid. 2b/aa ; 126 III 209 consid. 3a). L'atteinte à l'honneur peut résulter d'allégations de fait ou d'appréciations subjectives, sans qu'il importe de savoir, dans un premier temps, si les faits allégués sont vrais, incomplets ou inexacts, ou si les critiques sont justifiées ou non (ATF 122 III 449 consid. 3a). Le mode d'expression (geste, voix, écrit ou dessin) est aussi indifférent. Il suffit qu'aux yeux d'un observateur moyen la considération dont jouit une personne soit diminuée; la véracité des faits allégués ou le bien-fondé d'une critique jouent cependant un rôle important pour décider si l'atteinte est illicite ou non (ATF 103 II 161 consid. 1c ; 91 II 401 consid. 3). En matière de presse, la relation de faits vrais est justifiée par la mission d'information (ATF 122 III 449 consid. 3b), à moins qu'il ne s'agisse de faits relevant de la sphère secrète ou privée, ou que la forme de la description, inutilement blessante, ne rabaisse la personne de manière inadmissible (ATF 129 III 529 consid. 3.1). En revanche, l'atteinte qui résulte d'allégations de fait inexactes n'est en principe jamais licite (ATF 126 III 209 consid. 3a et 4b/aa ; 111 II 209 consid. 3c). 6.2.3. Le droit d'exercer librement une activité économique est également protégé par l'art. 28 CC (ATF 86 II 201 ).</w:t>
      </w:r>
    </w:p>
    <w:p>
      <w:r>
        <w:rPr>
          <w:b/>
        </w:rPr>
        <w:t>E. 6.3</w:t>
      </w:r>
    </w:p>
    <w:p>
      <w:r>
        <w:t>Selon l'art. 49 al. 1 du code des obligations (CO - RS 220), dont l'application est réservée par l'art. 28 al. 3 CC,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(ATF 143 IV 339 consid. 3.1). 6.4.1. En l'espèce, comme vu supra au consid. 2.7, la manifestation à laquelle ont participé les prévenus visait, aux yeux d'un observateur neutre, également voire exclusivement A______, bien qu'il ne fût pas nommément mentionné sur la banderole ou dans les tracts. Dès lors qu'il est ainsi apparu comme un employeur ne payant pas correctement ses employés et ayant mis en place un système de faillite pour échapper à ses obligations sur ce plan, il a été atteint dans son estime professionnelle et sociale. Or, les prévenus ont constamment admis n'avoir aucune revendication à l'encontre de A______ et il ne ressort pas du dossier que les employés de K______ Sàrl n'étaient pas suffisamment rémunérés. La confusion créée et entretenue durant la manifestation est dès lors constitutive d'une atteinte à la personnalité de la partie plaignante injustifiée par un quelconque intérêt public ou privé prépondérant. Elle est donc illicite. A______ a également été illicitement touché dans sa liberté économique dans la mesure où la manifestation a perturbé le service de midi du restaurant, comme vu supra au consid. 3.2, et qu'associé de la société propriétaire de l'établissement, il gérait de fait l'établissement. Pour les mêmes raisons que celles susmentionnées, une telle atteinte n'était pas justifiée par les circonstances. Les prévenus ne pouvaient en particulier pas se prévaloir de la licéité de la manifestation, l'autorisation de celle-ci comportant l'interdiction d'entraver les commerces environnants. 6.4.2. Il est cependant douteux que ces atteintes soient à l'origine des troubles de la santé dont A______ se prévaut. Si l'expérience qu'il a vécue le 23 juin 2016 constitue un désagrément certain, propre à influencer défavorablement la clientèle du restaurant, elle n'est pas de nature à entraîner chez un entrepreneur aguerri un état anxieux et des problèmes du sommeil sur le long terme. Ces troubles, leur durée et leur lien de causalité avec la manifestation reposent en outre essentiellement sur les seules allégations de la partie plaignante. Une indemnisation au titre de la réparation du tort moral est de toute manière exclue par le fait que le prévenu E______, responsable de la manifestation, s'est excusé auprès d'elle et lui a offert de réaliser toute action ou communication pour rétablir la situation vis-à-vis de sa clientèle. Or, on ignore quelle suite la partie plaignante a donné à cette offre.</w:t>
      </w:r>
    </w:p>
    <w:p>
      <w:r>
        <w:rPr>
          <w:b/>
        </w:rPr>
        <w:t>E. 6.5</w:t>
      </w:r>
    </w:p>
    <w:p>
      <w:r>
        <w:t>Les prétentions de D______ en réparation du tort moral sont infondées à un double titre. Il n'a d'une part produit aucune pièce démontrant la réalité des problèmes de santé dont il fait état ni leur lien de causalité avec la manifestation en cause. Celle-ci ne constitue d'autre part pas une atteinte illicite à sa personnalité. Si elle a entaché sa réputation professionnelle pour les mêmes raisons que celles développées ci-avant au sujet de son frère, il ne résulte en effet pas des pièces du dossier que les revendications du syndicat concernant les trois employés de sa société étaient sans fondement. Or, les syndicalistes peuvent faire valoir un intérêt supérieur à leur liberté d'expression dans la mesure où elle est exercée pour défendre les droits de leurs membres dans les limites convenables de la polémique syndicale (cf. supra consid. 2.6). Les références à un système mafieux organisé faites par le prévenu C______ à sa collègue journaliste dépassent les limites précitées, comme analysé supra au consid. 2.10. Il n'apparaît néanmoins pas que la seule publication de tels propos dans le journal interne du syndicat, qui ne touche pas un large public et dont le contenu a été retiré de son site internet, ait pu causer ni n'ait effectivement causé une atteinte à la santé psychique de D______.</w:t>
      </w:r>
    </w:p>
    <w:p>
      <w:r>
        <w:rPr>
          <w:b/>
        </w:rPr>
        <w:t>E. 6.6</w:t>
      </w:r>
    </w:p>
    <w:p>
      <w:r>
        <w:t>Au vu de ce qui précède, les parties plaignantes seront déboutées de leurs conclusions en réparation du tort moral.</w:t>
      </w:r>
    </w:p>
    <w:p>
      <w:r>
        <w:rPr>
          <w:b/>
        </w:rPr>
        <w:t>E. 7</w:t>
      </w:r>
    </w:p>
    <w:p>
      <w:r>
        <w:t>7.1. Selon l'art. 426 CPP, le prévenu supporte les frais de procédure s'il est condamné (al. 1) ou, dans l'hypothèse d'un classement ou d'un acquittement, s'il a, de manière illicite et fautive, provoqué l'ouverture de la procédure ou rendu plus difficile la conduite de celle-ci (al. 2).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arrêt du Tribunal fédéral 6B_1268/2018 du 15 février 2019 consid. 4.1).</w:t>
      </w:r>
    </w:p>
    <w:p>
      <w:r>
        <w:rPr>
          <w:b/>
        </w:rPr>
        <w:t>E. 7.2</w:t>
      </w:r>
    </w:p>
    <w:p>
      <w:r>
        <w:t>En l'espèce, les prévenus sont acquittés de l'essentiel des faits qui leur sont reprochés, seul un chef d'accusation étant en définitive retenu pour l'un d'entre eux. La manifestation du 23 juin 2016, à laquelle ils ont participé, constitue cependant une atteinte illicite à la personnalité de l'une des parties plaignantes et cet événement a fait l'objet des plaintes pénales déposées par ces dernières. Les prévenus E______ et C______ ont agi de manière fautive. Vu le choix du lieu, sans lien direct et apparent avec la société visée, ils auraient chacun dû, quelle que fût leur responsabilité dans la tenue de l'événement, à tout le moins envisager le risque de confusion entre les deux frères et d'atteinte injustifiée (à l'honneur et à la liberté économique) en découlant pour A______. L'éventuelle présence de D______, son ancien statut de coresponsable de l'établissement ou ses liens avec l'autre associé de K______ Sàrl n'y changent rien, ces éléments n'étant pas connus des tiers. Les prévenus ont donc causé l'ouverture de la procédure pénale de manière illicite et fautive en relation avec tous les chefs de prévention résultant directement de la tenue de la manifestation (ch. B.1.1, B.II.3 et B.III.4), y compris la conférence de presse (ch. B.I.2). Quand bien même A______ n'est pas cité dans les deux articles publiés par les journalistes présents, la confusion entre les deux frères a été entretenue à leur égard, par le choix du lieu de la manifestation ainsi que les références au restaurant H______ et à la "famille" JASARI figurant dans le communiqué de presse. La situation du prévenu F______ est différente eu égard à son rôle subalterne. Il s'est contenté de prendre part à la manifestation conformément aux instructions de ses supérieurs hiérarchiques, sans influence sur son organisation, en particulier sur le choix du lieu et le libellé du tract distribué. Il ne peut pas être reproché au MP un excès de zèle, les charges étant restées suffisantes jusqu'au renvoi en jugement. Comme vu supra au consid. 2.7 in fine , un classement partiel de la procédure ne se justifiait pas. Le dernier point de l'acte d'accusation concerne certes une infraction de menaces sans rapport direct avec la manifestation et visant exclusivement D______ (ch. B.III.5). Son objet, soit la lettre du 29 juin 2016, a toutefois trait à un point très marginal du dossier, dont l'instruction tout comme les débats de première instance ont concerné quasi intégralement les raisons, l'autorisation, le déroulement et les conséquences de la manifestation du 23 juin précédent. L'absence de comportement fautif des prévenus à l'origine de ce chef de prévention n'impose donc pas de laisser une partie des frais à la charge de l'Etat. Au vu de ce qui précède, la condamnation de E______ et C______ aux frais de la procédure de première instance, à l'exclusion de F______, est conforme au droit, tout comme leur qualité de débiteurs solidaires, dès lors qu'ils ont provoqué l'ouverture de la procédure (art. 418 al. 2 CPP).</w:t>
      </w:r>
    </w:p>
    <w:p>
      <w:r>
        <w:rPr>
          <w:b/>
        </w:rPr>
        <w:t>E. 8</w:t>
      </w:r>
    </w:p>
    <w:p>
      <w:r>
        <w:t>8.1. Selon l'art. 429 al. 1 let. a CPP, si le prévenu est acquitté totalement ou en partie ou s'il bénéficie d'une ordonnance de classement, il a droit à une indemnité pour les dépenses occasionnées par l'exercice raisonnable de ses droits de procédure. L'autorité peut cependant réduire ou refuser l'indemnité si le prévenu a provoqué illicitement et fautivement l'ouverture de la procédure ou a rendu plus difficile la conduite de celle-ci (art. 430 al. 1 let. a CPP).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 arrêts du Tribunal fédéral 6B_1258/2018 du 24 janvier 2019 consid. 3.1 et 6B_1268/2018 du 15 février 2019 consid. 4.1).</w:t>
      </w:r>
    </w:p>
    <w:p>
      <w:r>
        <w:rPr>
          <w:b/>
        </w:rPr>
        <w:t>E. 8.2</w:t>
      </w:r>
    </w:p>
    <w:p>
      <w:r>
        <w:t>En l'espèce, les prévenus E______ et C______ doivent supporter l'entier des frais de première instance au motif qu'ils ont provoqué, pour l'essentiel, l'ouverture de la procédure pénale illicitement et fautivement. Leurs prétentions en indemnisation de leurs frais de défense ont dès lors été rejetées dans leur intégralité à bon droit, ce qui sera confirmé en appel.</w:t>
      </w:r>
    </w:p>
    <w:p>
      <w:r>
        <w:rPr>
          <w:b/>
        </w:rPr>
        <w:t>E. 9</w:t>
      </w:r>
    </w:p>
    <w:p>
      <w:r>
        <w:t>9.1. Selon l'art. 433 al. 1 CPP, la partie plaignante peut demander au prévenu une juste indemnité pour les dépenses obligatoires occasionnées par la procédure si (a) elle obtient gain de cause ou si (b) le prévenu est astreint au paiement des frais conformément à l'art. 426 al. 2 CPP. Ladite indemnité concerne les dépenses du prévenu pour un avocat de choix (ATF 138 IV 205 consid. 1). En particulier, les démarches doivent apparaître nécessaires et adéquates (ATF 139 IV 102 consid. 4.3).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SJ 2012 I 172 ; ACPR/279/2014 du 27 mai 2014) ou de CHF 400.- ( ACPR/282/2014 du 30 mai 2014), notamment si l'avocat concerné a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 La partie plaignante adresse ses prétentions à l'autorité pénale; elle doit les chiffrer et les justifier. Si elle ne s'acquitte pas de cette obligation, l'autorité pénale n'entre pas en matière sur la demande (art. 433 al. 2 CPP). Cette disposition s'explique par le fait que la maxime d'instruction ne s'applique pas à l'égard de la partie plaignante : celle-ci doit demeurer active et demander elle-même une indemnisation, sous peine de péremption (arrêt du Tribunal fédéral 6B_818/2018 du 4 octobre 2018 consid. 4.1).</w:t>
      </w:r>
    </w:p>
    <w:p>
      <w:r>
        <w:rPr>
          <w:b/>
        </w:rPr>
        <w:t>E. 9.2</w:t>
      </w:r>
    </w:p>
    <w:p>
      <w:r>
        <w:t>En l'espèce, les parties plaignantes peuvent prétendre sur le principe, au vu de la condamnation des prévenus E______ et C______ aux frais nonobstant leur acquittement de la plus grande partie des charges retenues contre eux, à ce qu'ils les couvrent de leurs frais de défense de première instance. Elles ne remettent pas en cause la fixation des indemnités qui leur sont dues à ce titre (cf. supra consid. B.i), laquelle apparaît au surplus conforme aux normes et à la jurisprudence susrappelées. Il est renvoyé pour le détail au considérant 7.2 du jugement querellé (art. 82 al. 4 CPP). Comme vu plus haut en lien avec les frais, la solidarité des prévenus au titre de débiteurs des indemnités n'est pas critiquable (art. 418 al. 2 CPP ; ATF 145 IV 268 concernant l'application de cette disposition à l'indemnité au titre de l'art. 433 CPP) et l'absence de condamnation de F______ n'est remise en cause par aucune des parties. La fixation des indemnités dues aux parties plaignantes pour leurs frais de défense de première instance et leur répartition entre les prévenus seront dès lors confirmées.</w:t>
      </w:r>
    </w:p>
    <w:p>
      <w:r>
        <w:rPr>
          <w:b/>
        </w:rPr>
        <w:t>E. 10</w:t>
      </w:r>
    </w:p>
    <w:p>
      <w:r>
        <w:t>10.1.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 Les frais de procédure peuvent être mis entièrement à sa charge si la modification de la décision en sa faveur est de peu d'importance (art. 428 al. 2 let. b CPP), aspect qui s'apprécie selon les circonstances concrètes du cas d'espèce (arrêt du Tribunal fédéral 1B_575/2011 du 29 février 2012 consid. 2.1).</w:t>
      </w:r>
    </w:p>
    <w:p>
      <w:r>
        <w:rPr>
          <w:b/>
        </w:rPr>
        <w:t>E. 10.2</w:t>
      </w:r>
    </w:p>
    <w:p>
      <w:r>
        <w:t>Chacune des parties succombent en appel dans la mesure où leurs conclusions sont entièrement rejetées, de sorte que les frais de procédure, qui comprendront un émolument de CHF 4'000.- (art. 14 al. 1 let. e du règlement fixant le tarif des frais en matière pénale [RTFMP - E 4 10.03]), seront mis à leur charge. C______ obtient certes une légère réduction de sa peine, mais cela représente une modification de peu d'importance au regard des conclusions prises, visant un acquittement et une indemnisation de ses frais de défense, et ne s'en prenant pas expressément à la peine prononcée. L'examen des griefs des deux parties plaignantes, concernant la culpabilité des prévenus en lien avec chaque chef d'accusation ainsi que leurs conclusions civiles, a nécessité un travail plus important que celui des griefs de C______ et E______, concernant la fixation et la répartition des frais et dépens ainsi que, pour l'un, sa culpabilité en relation avec un seul chef d'accusation. Il se justifie dès lors de faire supporter deux tiers des frais de procédure aux parties plaignantes, soit un tiers chacune, et un tiers aux prévenus appelants, soit un sixième chacun (art. 418 al. 1 CPP).</w:t>
      </w:r>
    </w:p>
    <w:p>
      <w:r>
        <w:rPr>
          <w:b/>
        </w:rPr>
        <w:t>E. 11.1</w:t>
      </w:r>
    </w:p>
    <w:p>
      <w:r>
        <w:t>Les art. 429 et 433 CPP sont applicables aux prétentions en indemnisation des parties en appel (art. 436 al. 1 CPP). La responsabilité de l'action pénale incombe en principe à l'Etat. Le législateur a cependant prévu des correctifs lorsque la procédure est menée davantage dans l'intérêt de la partie plaignante ou rendue plus difficile par cette dernière. En particulier, lorsqu'un acquittement a été prononcé à l'issue d'une procédure complète devant des tribunaux et que l'appel est uniquement formé par la partie plaignante, il est conforme au code de procédure que cette dernière assume les frais de défense du prévenu devant l'instance d'appel (ATF 141 IV 476 consid. 1.1 et 139 IV 45 ).</w:t>
      </w:r>
    </w:p>
    <w:p>
      <w:r>
        <w:rPr>
          <w:b/>
        </w:rPr>
        <w:t>E. 11.2</w:t>
      </w:r>
    </w:p>
    <w:p>
      <w:r>
        <w:t>En l'espèce, le MP n'a pas fait appel et seules les parties plaignantes ont contesté les acquittements des prévenus en seconde instance. Conformément à la jurisprudence susmentionnée, elles assumeront dès lors les frais de défense de ces derniers dans la mesure où ils concernent la contestation de leurs appels, à hauteur de la moitié chacune (art. 418 al. 1 CPP). Dès lors qu'il n'est pas possible de délimiter précisément l'activité concernée, une quotité de deux tiers desdits frais sera appliquée, par équivalence à la part des frais de procédure laissés à la charge des parties plaignantes. E______ et C______ assumeront également une part des frais de défense de celles-ci, qui obtiennent gain de cause sur les points attaqués en appel par les deux prévenus. Par identité de motifs à ceux précités, une quote-part d'un tiers desdits frais sera mise à leur charge, à hauteur de la moitié chacun. Les relevés d'activité des conseils des parties apparaissent raisonnables vu l'ampleur et la difficulté des points encore débattus en appel. Les tarifs horaires appliqués sont conformes à la jurisprudence cantonale mentionnée supra au consid. 9.1. Les frais de défense dont les parties se prévalent en appel sont donc admis, sous réserve des ajustements nécessaires à la prise en compte de la durée effective des débats, soit 4h40. Sur la base de ce qui précède, les indemnités dues par les parties peuvent être fixées de la manière suivante. 11.3.1 . Les frais de défense de A______ s'élèvent à CHF 7'174.60, correspondant aux 15h30 d'activité annoncées par son conseil (CHF 6'672.-), auxquelles s'ajoutent 1h10 pour tenir compte de la durée effective des débats que ce dernier avait estimée à 3h30 (1.17 × CHF 400.- + TVA de 7.7% = CHF 502.60). Les frais de défense de D______ totalisent CHF 8'795.50, correspondant à 23h20 d'activité au tarif horaire de CHF 350.- annoncées par son conseil, durée des débats et TVA comprises. Les parties plaignantes peuvent prétendre au remboursement d'un tiers de leurs frais, soit CHF 2'391.53 pour A______ et CHF 2'931.83 pour D______, par les prévenus E______ et C______, qui en supporteront chacun la moitié, correspondant aux montants arrondis de CHF 1'195.- et CHF 1'465.-. 11.3.2. Il faut ajouter aux frais de défense de E______, totalisant CHF 6'946.76 pour une activité de 30h50, 4h40 de présence aux débats du chef d'étude, au tarif horaire de CHF 220.-, ce qui représente des honoraires supplémentaires, TVA comprise, de CHF 1'105.72 et porte les frais à CHF 8'052.48. Les frais de défense de C______ s'élèvent à CHF 9'410.29, correspondant à une activité de 19h25 facturée au tarif horaire de CHF 450.-, TVA incluse, en tenant compte de la durée effective des débats, de 20 minutes inférieures à celle estimée. Les prévenus peuvent prétendre au remboursement de deux tiers de leurs frais de défense, soit CHF 5'368.32 pour E______ et CHF 6'273.52 pour C______, par les parties plaignantes, qui en supporteront la moitié chacune, correspondant aux montants arrondis de CHF 2'684.- et CHF 3'136.-.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