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P/15154/2019 vom 25. Juni 2020</w:t>
      </w:r>
    </w:p>
    <w:p>
      <w:r>
        <w:t>GE Cour de justice, 2020-06-25, FR</w:t>
      </w:r>
    </w:p>
    <w:p>
      <w:r>
        <w:rPr>
          <w:b/>
        </w:rPr>
        <w:t xml:space="preserve">Quelle: </w:t>
      </w:r>
      <w:r>
        <w:t>https://mcp.opencaselaw.ch/entscheid/ge_gerichte_P_15154_2019</w:t>
      </w:r>
    </w:p>
    <w:p>
      <w:r>
        <w:t>FR: GE_GERICHTE P/15154/2019 du 25 juin 2020</w:t>
      </w:r>
    </w:p>
    <w:p>
      <w:r>
        <w:t>IT: GE_GERICHTE P/15154/2019 del 25 giugno 2020</w:t>
      </w:r>
    </w:p>
    <w:p>
      <w:pPr>
        <w:pStyle w:val="Heading2"/>
      </w:pPr>
      <w:r>
        <w:t>Regeste</w:t>
      </w:r>
    </w:p>
    <w:p>
      <w:r>
        <w:t>USURE(DROIT PÉNAL);VOL(DROIT PÉNAL);ORDONNANCE DE NON-ENTRÉE EN MATIÈRE;VIOLATION DE DOMICILE | CPP.310; CP.157; CP.166</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des décisions querellées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de ne pas être entré en matière sur sa plainte pour violation de domicile et usure contre le mis en cause.</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 3.2.1. 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sortie à lui adressée par un ayant droit. 3.2.2. Outre le fait que les déclarations de la recourante et de C______ sont contradictoires s'agissant des circonstances dans lesquelles la première citée a dû quitter le logement, il convient de constater que le mis en cause était, au moment des faits, locataire de l'appartement et que la recourante avait accepté que C______ et son mari y séjournent jusqu'à leur déménagement; on peut ainsi difficilement concevoir que le mis en cause ait commis une violation de domicile en séjournant dans son propre logement. D'autre part, contrairement à ce que prétend la recourante, on ne trouve pas, dans le dossier, d'injonction faite au mis en cause, ou à sa femme, de quitter l'appartement; il n'en ressort aucune intervention de la police ni courrier de son avocat en ce sens. La pièce à laquelle la recourante fait référence est un email de cette dernière à l'assistante sociale de l'Hospice général faisant état d'un échange téléphonique entre son conseil et C______. 3.3.1. Selon l'art. 157 CP, est punissable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consiste à obtenir ou à se faire promettre une contre-prestation disproportionnée en exploitant la faiblesse de l'autre partie (B. CORBOZ, Les infractions en droit suisse , Vol. I, Berne 2010, n. 2 ad art. 157 CP). Il faut non seulement qu'il y ait un contrat onéreux et une disproportion entre les prestations échangées, mais encore que cette disproportion provienne d'une exploitation par le bénéficiaire de la position de faiblesse particulière dans laquelle se trouve l'autre partie, soit un lien de causalité (arrêt du Tribunal fédéral 6B_395/2007 du 14 novembre 2007 consid. 4.1). Sur le plan objectif, l'usure suppose d'abord que la victime se soit trouvée dans l'une des situations de faiblesse énumérées de manière exhaustive à l'art. 157 CP (arrêt du Tribunal fédéral 6B_395/2007 consid. 4.1). L'état de gêne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du Tribunal fédéral 6S.6/2007 du 19 février 2007 consid. 3.2.1). Concernant la gêne économique, la victime doit se trouver dans l'impossibilité de repousser le contrat qui lui est proposé ou les conditions qui lui sont faites. Elle se trouve ainsi réduite à une telle extrémité, soit à la " merci " de l'usurier (M. DUPUIS/ L. MOREILLON/ C. PIGUET/ S. BERGER/ M. MAZOU/ V. RODIGARI (éds), Code pénal - Petit commentaire, 2e éd., Bâle 2017, n. 5 ad. 157). 3.3.2. Lorsqu'elle a décidé de conclure le contrat de sous-location et d'emménager chez les mis en cause, A______ était alors assistée par l'Hospice général et logée à la résidence E______. Elle n'a dès lors pas été contrainte de prendre à bail l'appartement. En outre, la recourante a déclaré à la police, le 2 août 2019, ainsi que dans son action en réintégrande, qu'elle avait accepté de sous-louer l'appartement tout en sachant que les locataires principaux y resteraient encore quelque temps, tout en payant l'intégralité du loyer. Elle ne dit mot de l'affirmation selon laquelle ils seraient allés vivre chez la mère de F______. On ne voit dès lors pas qu'elle ait été contrainte de rester dans l'appartement; elle l'a d'ailleurs quitté. Enfin, la recourante ne fournit aucune indication s'agissant de l'aspect disproportionné du loyer dont une part plus que prépondérante était acquittée par l'Hospice général. Les éléments constitutifs de l'infraction d'usure ne sont dès lors pas réunis à l'encontre du mis en cause, même par omission.</w:t>
      </w:r>
    </w:p>
    <w:p>
      <w:r>
        <w:rPr>
          <w:b/>
        </w:rPr>
        <w:t>E. 4</w:t>
      </w:r>
    </w:p>
    <w:p>
      <w:r>
        <w:t>La recourante demande à être mise au bénéfice de l'assistance juridique faute d'avoir les moyens suffisants pour couvrir les frais du recours.</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4.2</w:t>
      </w:r>
    </w:p>
    <w:p>
      <w:r>
        <w:t>En l'espèce, quand bien même la recourante serait indigente, il a été jugé ci-dessus que ses griefs étaient manifestement infondés. Sa requête ne peut qu'être rejetée, pour les mêmes raisons que celles exposées au précédent considérant.</w:t>
      </w:r>
    </w:p>
    <w:p>
      <w:r>
        <w:rPr>
          <w:b/>
        </w:rPr>
        <w:t>E. 5</w:t>
      </w:r>
    </w:p>
    <w:p>
      <w:r>
        <w:t>Justifiée, l'ordonnance querellée sera donc confirmée.</w:t>
      </w:r>
    </w:p>
    <w:p>
      <w:r>
        <w:rPr>
          <w:b/>
        </w:rPr>
        <w:t>E. 6</w:t>
      </w:r>
    </w:p>
    <w:p>
      <w:r>
        <w:t>La recourante, qui succombe, supportera les frais envers l'État, qui seront fixés en totalité à CHF 700.- (art. 428 al. 1 CPP et 13 al. 1 du Règlement fixant le tarif des frais en matière pénale, RTFMP ; E 4 10.03), la procédure de demande d'assistance juridique étant gratuite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