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P/15113/2016 vom 17. August 2018</w:t>
      </w:r>
    </w:p>
    <w:p>
      <w:r>
        <w:t>GE Cour de justice, 2018-08-17, FR</w:t>
      </w:r>
    </w:p>
    <w:p>
      <w:r>
        <w:rPr>
          <w:b/>
        </w:rPr>
        <w:t xml:space="preserve">Quelle: </w:t>
      </w:r>
      <w:r>
        <w:t>https://mcp.opencaselaw.ch/entscheid/ge_gerichte_P_15113_2016</w:t>
      </w:r>
    </w:p>
    <w:p>
      <w:r>
        <w:t>FR: GE_GERICHTE P/15113/2016 du 17 août 2018</w:t>
      </w:r>
    </w:p>
    <w:p>
      <w:r>
        <w:t>IT: GE_GERICHTE P/15113/2016 del 17 agosto 2018</w:t>
      </w:r>
    </w:p>
    <w:p>
      <w:pPr>
        <w:pStyle w:val="Heading2"/>
      </w:pPr>
      <w:r>
        <w:t>Regeste</w:t>
      </w:r>
    </w:p>
    <w:p>
      <w:r>
        <w:t>DISPOSITIONS PÉNALES DE LA LCR ; EXCÈS DE VITESSE ; SIGNALISATION ROUTIÈRE ; ERREUR DE DROIT(DROIT PÉNAL) | LCR.90.al1; LCR.27.al1; OSR.108.al5.letA; CP.21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La Chambre limite son examen aux violations décrites dans l'acte d'appel (art. 404 al. 1 CPP), sauf en cas de décisions illégales ou inéquitables (art. 404 al. 2 CPP).</w:t>
      </w:r>
    </w:p>
    <w:p>
      <w:r>
        <w:rPr>
          <w:b/>
        </w:rPr>
        <w:t>E. 2.1</w:t>
      </w:r>
    </w:p>
    <w:p>
      <w:r>
        <w:t>L'art. 27 al. 1 LCR impose aux usagers de la route de se conformer aux signes et aux marques. L'art. 108 de l'ordonnance fédérale sur la signalisation routière du 5 septembre 1979 (OSR ; RS 741.21) régit les dérogations aux limitations générales de vitesse. Aux termes de l'art. 108 al. 5 let. a OSR, des limitations inférieures à 120 km/h, jusqu'à 60km/h, sont autorisées. Des réductions plus sévères sont admissibles selon le degré d'aménagement dans le périmètre des jonctions et des intersections (art. 108 al. 5 let. a in fine OSR). Dans les deux cas, une gradation de 10 km/h doit être respectée. L'art. 108 al. 4 OSR exige qu'une dérogation aux limitations générales de vitesse soit précédée d'une expertise destinée à vérifier que cette mesure soit nécessaire, opportune et conforme au principe de la proportionnalité ; il s'impose notamment d'examiner s'il est possible de limiter la mesure aux heures de pointe. L'art. 107 al. 1 et 1bis OSR indique qu'avant la mise en place des signaux, les mesures de réglementation locale du trafic, comme les dérogations aux limitations générales de vitesse, soient arrêtées et publiées par l'autorité avec indication des voies de droit. 2.2.1. Selon une jurisprudence constante, dans l'intérêt de la sécurité du trafic, ce devoir s'étend également aux signaux et aux marques qui n'ont pas été apposés de manière régulière, lorsque ceux-ci créent une apparence digne de protection pour d'autres usagers. Le devoir de s'y conformer découle alors du principe de la confiance (art. 26 al. 1 LCR). Une éventuelle irrégularité n'est pas reconnaissable par la majorité des usagers. C'est pourquoi, celui qui sait qu'un signal n'a pas été apposé régulièrement ne doit pas, par son non-respect, mettre en danger les autres usagers qui se fient à l'apparence ainsi créée (ATF 128 IV 184 consid. 4.b ; arrêt du Tribunal fédéral 6B_700/2015 du 14 septembre 2016 consid. 1.1). Cette obligation ne vaut naturellement que pour les signaux susceptibles de créer une apparence digne de protection pour d'autres usagers de la route. Elle ne concerne par contre pas les injonctions dont la violation n'entraîne aucune mise en danger concrète d'autres usagers de la route, comme c'est fréquemment le cas pour les interdictions de stationner (ATF 128 IV 184 consid. 4.b ; 103 IV 190 ; 98 IV 264 ). Le caractère obligatoire des signaux routiers susceptibles de créer une apparence digne de protection trouve cependant sa limite lorsque l'injonction est nulle, parce que le vice dont elle est entachée est particulièrement grave, est manifeste ou du moins facilement reconnaissable, dans la mesure naturellement où la sécurité routière ne fait pas obstacle à la constatation de la nullité (ATF 128 IV 184 consid. 4 ; 122 I 97 consid. 3.a/aa ; 113 IV 124 c. 2.b ; arrêts du Tribunal fédéral 6B_700/2015 du 14 septembre 2016 consid. 1.1 ; 6B_464/2015 du 8 février 2016 consid. 2.2 ; 6B_112/2011 du 8 juin 2011 consid. 3.3). Aussi,la constatation du caractère irrégulier du signal n'enlève rien à son caractère obligatoire sauf s'il se révèle nul (ATF 128 IV 184 consid. 4.b). 2.2.2. L'indication de la vitesse maximale autorisée crée une confiance des usagers qui doit être protégée dans de multiples circonstances : bifurcation, dépassement, intersection etc. Par conséquent, le Tribunal fédéral a rappelé à plusieurs reprises que les indications de vitesse maximale apposées de manière irrégulière doivent en principe être respectées (notamment ATF 128 IV 184 consid. 4.c ; arrêt du Tribunal fédéral 6B_700/2015 du 14 septembre 2016 consid. 1.2). Celui qui respecte la signalisation d'une limitation de vitesse risque d'évaluer de manière erronée la vitesse pratiquée par d'autres usagers de la route qui ne se conforment pas à la signalisation ; une telle réaction peut entraîner des réactions inadaptées qui sont de nature à provoquer de graves accidents de la circulation (ATF 113 IV 123 consid. 2.b ; AARP/257/2015 du 28 mai 2015 consid. 2.3) 2.2.3. Le Tribunal fédéral a également déjà jugé que la limitation de vitesse à 40 km/h à l'approche de la douane de Bardonnex n'était pas entachée d'un vice si manifeste qu'il s'imposait de la considérer comme nulle (arrêt du Tribunal fédéral 6B_700/2015 du 14 septembre 2016 consid. 1.2 ; AARP/257/2015 du 28 mai 2015 consid. 2.3). Au contraire, la limitation de vitesse litigieuse se justifie au regard de la configuration particulière d'un tronçon d'autoroute aboutissant à un poste de douane, où les véhicules doivent réduire progressivement leur vitesse de manière à rouler au pas au moment de leur passage devant le poste, circonstances dans lesquelles les usagers doivent pouvoir s'attendre à ce que tous les conducteurs respectent la vitesse maximale signalée ( AARP/257/2015 du 28 mai 2015 consid. 2.3).</w:t>
      </w:r>
    </w:p>
    <w:p>
      <w:r>
        <w:rPr>
          <w:b/>
        </w:rPr>
        <w:t>E. 2.3</w:t>
      </w:r>
    </w:p>
    <w:p>
      <w:r>
        <w:t>En l'espèce, les signaux limitant la vitesse à 40 km/h sur le tronçon d'autoroute litigieux ne sont pas conformes à la gradation de 10 km/h et leur installation n'a pas été précédée d'un arrêté publié indiquant les voies de droit. Une telle limitation de vitesse est donc irrégulière, irrégularité d'ores et déjà constatée par le Tribunal fédéral (arrêt du Tribunal fédéral 6B_700/2015 du 14 septembre 2016 consid. 1.1). La limitation de vitesse litigieuse n'en est pour autant pas entachée d'un vice entraînant sa nullité ( cf. jurisprudence citée supra , consid. 2.2). La limitation à 40 km/h d'un tronçon d'autoroute ne constitue par ailleurs pas en elle-même une irrégularité puisque l'art. 108 al. 5 let. a OSR prévoit expressément qu'il est possible de décider d'une limitation de vitesse inférieure à 60 km/h sur une autoroute dans certains périmètres. Contrairement à ce qu'avance l'appelant, la limitation mise en place crée bien une apparence digne de protection pour les usagers de la route. Elle réduit la vitesse maximale autorisée en trois paliers de 20 km/h, espacés au premier palier de 240m et au deuxième de 160m, à l'approche d'un poste de douane, lequel devra être franchi au pas. Les usagers de la route s'attendent à ce que la limitation soit respectée et évaluent leur propre réaction en fonction. Dans ces circonstances, l'appelant devait respecter les signaux de limitation de vitesse incriminés, quand bien même ils ont été été apposés de manière irrégulière, conformément à la jurisprudence rappelée ci-dessus ( cf. consid. 2.2) 2.4.1. L'art. 90 LCR est la base légale réprimant les violations des règles de la circulation. S'agissant d'une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LCR). 2.4.2.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 ATF 131 IV 133 consid. 3.2 ; arrêt du Tribunal fédéral 6B_444/2016 du 3 avril 2017 consid. 1.1). Le comportement de l'auteur doit causer une mise en danger de la vie ou de la santé d'un être humain, à l'exclusion du patrimoine d'autrui (Y. JEANNERET, op. cit. ,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sous réserve toutefois du heurt à très faible vitesse, par exemple dans un bouchon ou lors d'une manœuvre dans un parking (Y. JEANNERET, op. cit. , n. 26 ad art. 90 ; C. MIZEL, La violation grave des règles de la circulation , in PJA 2004 p. 1483 ss, spéc. 1491).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et 6B_117/2015 du 11 février 2016 consid. 13.2). L'existence d'un danger concret, d'un danger abstrait accru ou d'un danger tout simplement abstrait dépend des circonstances dans lesquelles la violation a eu lieu. Le critère déterminant pour conclure à l'existence d'un danger abstrait accru réside dans l'imminence du danger (ATF 131 IV 133 consid. 3.2 et les références citées). La simple possibilité qu'un danger se réalise ne tombe toutefois sous le coup de l'art. 90 al. 2 LCR que si, en raison de circonstances particulières, la survenance d'un danger concret ou même d'une blessure est très probable (ATF 123 IV 88 consid. 3a ; ATF 118 IV 285 consid. 3a ; arrêt du Tribunal fédéral 6B_1300/2016 du 5 décembre 2017 consid. 2 destiné à la publication).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arrêt du Tribunal fédéral 6B_444/2016 du 3 avril 2017 consid. 1.1).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l'existence d'une absence de scrupules, sauf indice particulier permettant de retenir le contraire. L'acceptation de l'absence de scrupules ne peut cependant pas être déduite de toute inattention (ATF 142 IV 93 consid. 3.1 et les références citées ; arrêts du Tribunal fédéral 6B_1300/2016 du 5 décembre 2017 consid. 2 destiné à la publication ; 6B_23/2016 du 9 décembre 2016 consid. 3.2). 2.4.3.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Selon l'art. 27 al. 1 LCR, chacun se conformera aux signaux et aux marques ainsi qu'aux ordres de police. Selon les art. 32 al. 2 LCR et 4a al. 1 de l'ordonnance sur la circulation routière du 13 novembre 1962 (OCR ; 741.11), la vitesse maximale générale des véhicules peut atteindre, lorsque les conditions de la route, de la circulation et de visibilité sont favorables, 120 km/h sur les autoroutes. Toutefois, lorsqu'un signal indique une autre vitesse que la limite générale, celle-ci est applicable (art. 4a al. 5 OCR). 2.4.4.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ATF 123 II 106 consid. 2c et les références citées ; arrêts du Tribunal fédéral 6B_444/2016 du 3 avril 2017 consid. 1.1 ; 6B_865/2014 du 2 avril 2015 consid. 1.5).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Le Tribunal fédéral a régulièrement nié l'existence de telles circonstances à décharge (arrêts du Tribunal fédéral 6B_1011/2013 du 13 mars 2014 consid. 2.1 ; 6B_571/2012 du 8 avril 2013 consid. 3.4).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 (ATF 132 II 234 consid. 3) et des critiques formulées par une partie de la doctrine (arrêt du Tribunal fédéral 1C_83/2008 du 16 octobre 2008 consid. 2 ; Y. JEANNERET, op. cit. , n. 49 p. 54 ad art. 90). 2.4.5. Ainsi que déjà rappelé, le Tribunal fédéral a retenu que, quand bien même elle était irrégulière, la limitation de vitesse à 40 km/h située avant la douane de Bardonnex était valable et que les usagers devaient s'y conformer ( cf. consid. 2). Le Tribunal fédéral a rendu un arrêt confirmant qu'un dépassement de la vitesse maximale autorisée de 56 km/h à l'endroit litigieux en l'espèce était constitutif d'un " délit de chauffard " au sens de l'art. 90 al. 3 et 4 let. b LCR (arrêt du Tribunal fédéral 6B_174/2017 du 30 novembre 2017 consid. 2). Il a en particulier été tenu compte de ce que les automobilistes circulant en direction de la France rencontraient successivement une signalisation limitant la vitesse à 80 km/h puis, 227 mètres plus loin, une limitation à 60 km/h et, enfin, 165 mètres plus loin, celle à 40 km/h, à 150 mètres de la douane. De telles distances semblaient admissibles dans la configuration de l'approche de la douane de Bardonnex puisqu'elles apparaissaient suffisantes pour éviter que les usagers ne soient surpris ou perturbés par des intervalles trop brefs entre les injonctions successivement reçues (arrêt du Tribunal fédéral 6B_174/2017 du 30 novembre 2017 consid. 2). Dans un arrêt AARP/15/2018 du 17 janvier 2018, dans des circonstances identiques (même jour, même lieu), la CPAR a retenu qu'un dépassement de 30 km/h (marge de sécurité déduite) était constitutif d'infraction grave aux règles de la circulation routière au sens de l'art. 90 al. 2 LCR. Il se justifiait de considérer le lieu de commission de l'infraction comme une route hors localité, de sorte que le dépassement de vitesse litigieux atteignait la limite inférieure du cas objectivement grave au sens de l'art. 90 al. 2 LCR. Dans ses arrêts AARP/335/2016 du 24 août 2016 et AARP/481/2016 du 1 er décembre 2016, la CPAR a retenu que des dépassements de 45 km/h et 49 km/h au même endroit étaient constitutifs d'infractions graves aux règles de la circulation routière au sens de l'art. 90 al. 2 LCR. Dans un arrêt antérieur aux faits litigieux, la CPAR avait déjà constaté l'illicéité du non-respect de la limitation de vitesse à 40 km/h à l'approche de la douane de Bardonnex ( AARP/257/2015 du 28 mai 2015)</w:t>
      </w:r>
    </w:p>
    <w:p>
      <w:r>
        <w:rPr>
          <w:b/>
        </w:rPr>
        <w:t>E. 2.5</w:t>
      </w:r>
    </w:p>
    <w:p>
      <w:r>
        <w:t>En l'espèce, l'appelant roulait sur l'autoroute N1 en direction de la France. Il venait, sur un tronçon de plusieurs centaines de mètres, de passer à la hauteur de panneaux de signalisation indiquant le passage à 80 km/h puis à 60 km/h et enfin à 40 km/h, avec l'indication de l'arrivée à la douane de Bardonnex dont les bâtiments étaient visibles ; un trajet par ailleurs effectué quotidiennement. L'appelant avait donc tout loisir de réduire progressivement sa vitesse, afin de se conformer à la signalisation. Or, il a circulé à 76 km/h (marge de sécurité déduite), soit à près du double de la vitesse maximale autorisée, entrant ainsi dans les seuils d'infraction grave fixés par le Tribunal fédéral en matière d'excès de vitesse (35 km/h ou plus). Un examen du cas d'espèce démontre qu'il s'agit bien d'un cas objectivement grave. En effet, la limitation litigieuse est peu fréquente sur une autoroute et s'explique par une situation très particulière puisque les automobilistes doivent être en mesure de s'arrêter à la douane, sur une artère notoirement très fréquentée, d'où une règlementation visant à amener les usagers à réduire progressivement leur vitesse, notamment afin d'éviter tout effet de surprise. Les automobilistes s'attendent à ce que la limitation signalée soit respectée. Une différence de vitesse de près du double de la vitesse autorisée sur un tronçon d'approche crée sans aucun doute un risque pour les autres usagers de la route qui se conforment aux limitations signalées, lesquels risquent alors d'évaluer de manière erronée la vitesse pratiquée, pouvant de la sorte entraîner des réactions inadaptées de nature à provoquer de graves accidents de la circulation. Le cas est donc objectivement grave au sens de l'art. 90 al. 2 LCR, même si les faits sont survenus en milieu de journée, par beau temps, sur une chaussée rectiligne, sèche et dans une circulation fluide, ces éléments n'étant pas à eux seuls suffisants pour enlever à l'excès de vitesse commis sa gravité. Sur le plan subjectif, l'approche de la douane devait inciter l'appelant à une attention et à une prudence accrue, vu les risques mentionnés ci-dessus existant à cet endroit, déjà de manière abstraite. L'appelant n'a pas allégué n'avoir vu la signalisation, avoir eu le moindre motif d'excéder la vitesse maximale autorisée ce jour-là, ni avoir été suivi de près par d'autres usagers l'empêchant de réduire sa vitesse. Au contraire, il affirme avoir délibérément ignoré la signalisation, la considérant illégale. Il a donc dépassé la vitesse de 36 km/h sans que rien ne l'y oblige, par pure commodité personnelle. L'élément subjectif de l'infraction à l'art. 90 al. 2 LCR est également réalisé. Partant, l'appelant a commis une infraction grave aux règles de la circulation routière (art. 90 al. 2 LCR). 2.6.1.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 ATF 138 IV 13 consid. 8.2).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 arrêt du Tribunal fédéral 6B_1369/2016 du 20 juillet 2017 consid. 5.1).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Une raison de se croire en droit d'agir est "suffisante" lorsqu'aucun reproche ne peut lui être adressé parce que son erreur provient de circonstances qui auraient pu induire en erreur tout homme consciencieux (ATF 98 IV 293 consid. 4a).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(arrêt du Tribunal fédéral 6B_526/2014 du 2 février 2015).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2.6.2. En l'espèce, l'appelant admet qu'il connaissait l'irrégularité de la signalisation de la limitation de vitesse à 40 km/h, qu'il avait apprise de discussions au sein du syndicat de ______ et notamment avec son conseil. Le contenu des échanges au sein du syndicat de ______ n'a pas été dévoilé dans la présente procédure, mais il paraît peu probable que l'illicéité du non-respect d'une telle irrégularité n'ait pas été abordée. Pour preuve, ______ effectue régulièrement des contrôles dans ce secteur, ce que l'appelant ne pouvait ignorer, en raison de sa profession de ______ et à tout le moins car son véhicule avait déjà été concerné par une précédente procédure. En outre, au moment des faits, la CPAR avait déjà rendu un arrêt condamnant un automobiliste pour infraction grave à l'art. 90 al. 2 LCR suite à un contrôle radar au même endroit. L'illicéité du non-respect des panneaux de limitation de vitesse à l'approche de la douane de Bardonnex était donc confirmée par les autorités judiciaires genevoises. Le fait que l'arrêt ait été porté devant le Tribunal fédéral ne permettait pas d'en conclure qu'il était loisible de ne pas respecter ladite limitation, bien au contraire. Savoir que la signalisation était irrégulière ne pouvait qu'inciter l'appelant à se renseigner sur l'illicéité de son non-respect (dont on peut douter qu'il l'ait ignoré vu ses contacts dans le syndicat de ______ et ses discussions avec son conseil), mais en aucun cas le conforter dans son non-respect. Par ailleurs, il devait paraître évident à l'appelant, en tant que ______ expérimenté, qu'un tel dépassement de la vitesse autorisée constituait inévitablement une mise en danger, à tout le moins abstraite accrue, des autres usagers. Partant, il n'y a pas eu erreur sur l'illicéité.</w:t>
      </w:r>
    </w:p>
    <w:p>
      <w:r>
        <w:rPr>
          <w:b/>
        </w:rPr>
        <w:t>E. 2.7</w:t>
      </w:r>
    </w:p>
    <w:p>
      <w:r>
        <w:t>L'appel est partant rejeté s'agissant du verdict de culpabilité.</w:t>
      </w:r>
    </w:p>
    <w:p>
      <w:r>
        <w:rPr>
          <w:b/>
        </w:rPr>
        <w:t>E. 3.1</w:t>
      </w:r>
    </w:p>
    <w:p>
      <w:r>
        <w:t>La peine menace de l'art. 90 al. 2 LCR est une peine privative de liberté de trois ans au plus ou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 7 septembre 2015 consid. 1.2).</w:t>
      </w:r>
    </w:p>
    <w:p>
      <w:r>
        <w:rPr>
          <w:b/>
        </w:rPr>
        <w:t>E. 3.3</w:t>
      </w:r>
    </w:p>
    <w:p>
      <w:r>
        <w:t>L'appelant ne conteste la peine ni dans sa nature, ni dans sa quotité dans l'hypothèse d'une confirmation du verdict de culpabilité. La sanction de 90 jours-amende consacre une application correcte des critères fixés à l'art. 47 CP et tient compte de manière adéquate de la gravité de sa faute et de sa situation personnelle, étant observé qu'il est particulièrement choquant qu'un ______ s'arroge le droit d'ignorer une signalisation routière parce qu'il la considère illicite. Le montant du jour-amende, de CHF 140.- l'unité est également adéquat au vu de sa situation financière. L'octroi du sursis est approprié. La CPAR se réfère à cet égard aux considérants et aux développements du premier juge (art. 82 al. 4 CPP). L'amende de CHF 2'520.- prononcée à titre de sanction immédiate (art. 42 al. 4 CP) et qui correspond au cinquième de la peine principale paraît appropriée eu égard à la gravité de l'infraction commise. Le jugement entrepris sera par conséquent entièrement confirmé.</w:t>
      </w:r>
    </w:p>
    <w:p>
      <w:r>
        <w:rPr>
          <w:b/>
        </w:rPr>
        <w:t>E. 4</w:t>
      </w:r>
    </w:p>
    <w:p>
      <w:r>
        <w:t>Vu l'issue de la procédure, les conclusions en indemnisation de l'appelant seront rejetées (art. 429 CPP).</w:t>
      </w:r>
    </w:p>
    <w:p>
      <w:r>
        <w:rPr>
          <w:b/>
        </w:rPr>
        <w:t>E. 5</w:t>
      </w:r>
    </w:p>
    <w:p>
      <w:r>
        <w:t>L'appelant, qui succombe, supportera les frais de la procédure envers l'État (art. 428 CPP), qui comprennent un émolument de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