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P/15080/2016 vom 11. Juni 2020</w:t>
      </w:r>
    </w:p>
    <w:p>
      <w:r>
        <w:t>GE Cour de justice, 2020-06-11, FR</w:t>
      </w:r>
    </w:p>
    <w:p>
      <w:r>
        <w:rPr>
          <w:b/>
        </w:rPr>
        <w:t xml:space="preserve">Quelle: </w:t>
      </w:r>
      <w:r>
        <w:t>https://mcp.opencaselaw.ch/entscheid/ge_gerichte_P_15080_2016</w:t>
      </w:r>
    </w:p>
    <w:p>
      <w:r>
        <w:t>FR: GE_GERICHTE P/15080/2016 du 11 juin 2020</w:t>
      </w:r>
    </w:p>
    <w:p>
      <w:r>
        <w:t>IT: GE_GERICHTE P/15080/2016 del 11 giugno 2020</w:t>
      </w:r>
    </w:p>
    <w:p>
      <w:pPr>
        <w:pStyle w:val="Heading2"/>
      </w:pPr>
      <w:r>
        <w:t>Regeste</w:t>
      </w:r>
    </w:p>
    <w:p>
      <w:r>
        <w:t>EXCÈS DE VITESSE;AUTOROUTE | LCR.90.al2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3.2 136).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124 II 259 consid. 2b, 123 II 106 consid. 2c et les références citées).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Le Tribunal fédéral a régulièrement nié l'existence de telles circonstances à décharge (arrêts du Tribunal fédéral 6B_1011/2013 du 13 mars 2014 consid. 2.1 ; 6B_571/2012 du 8 avril 2013 consid. 3.4). Ces seuils s'appliquent aux configurations classiques mais ne peuvent être transposés sans autre aux portions de route sur lesquelles la vitesse est limitée pour des raisons de sécurité, une adaptation au type de route comparable devant être opérée dans un tel cas (arrêt du Tribunal fédéral 6B_444/2016 du 3 avril 2017 consid. 1.3.1).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(ATF 128 II 131 consid. 2b). C'est ainsi que le Tribunal fédéral a considéré qu'un tronçon d'autoroute limité à 80 km/h en raison de la présence d'un chantier et d'ouvriers, quand bien même les usagers disposaient de deux voies dans le même sens de marche, s'apparentait à une route hors localité (arrêt du Tribunal fédéral 6B_444/2016 du 3 avril 2017 consid. 1.3.1). Le Tribunal fédéral a ainsi considéré que le dépassement de vitesse litigieux était supérieur au seuil pour le cas grave hors localité et pouvait par conséquent être objectivement qualifié de grave, et cela sans égard aux circonstances concrètes du cas (bonnes conditions de circulation, bonne réputation du conducteur, etc.). Dans certains cas particuliers, le Tribunal fédéral a en revanche jugé que la violation des règles de la circulation ne devait pas être qualifiée de grave malgré la limitation de vitesse à 80 km/h sur une autoroute car la limitation était d'une part restreinte dans le temps et dans l'espace, et d'autre part n'était pas due à des questions de sécurité, mais à des motifs écologiques (arrêt du Tribunal fédéral 6B_109/2008 du 13 juin 2008 consid. 3.2), ou à des mesures de modération du trafic (arrêt du Tribunal fédéral 6B_622/2009 du 23 octobre 2009 consid. 3.5).</w:t>
      </w:r>
    </w:p>
    <w:p>
      <w:r>
        <w:rPr>
          <w:b/>
        </w:rPr>
        <w:t>E. 2.2</w:t>
      </w:r>
    </w:p>
    <w:p>
      <w:r>
        <w:t>En l'espèce, il est constant que le véhicule conduit par l'intimé a été flashé à la vitesse de 117 km/h sur un tronçon d'autoroute limité à 80 km/h, ce que l'intéressé ne conteste pas. Il conteste en revanche la qualification de l'infraction. Contrairement à ce qu'a retenu le premier juge à la suite de l'ordonnance du MP maintenant son ordonnance pénale, la vitesse à l'endroit litigieux n'a pas été temporairement réduite en raison des travaux qui se trouvaient après l'échangeur de Perly. Au contraire, la limite de 80 km/h débute de façon pérenne juste avant l'endroit où l'intimé a été contrôlé. Elle était de surcroît, en raison desdits travaux, indiquée bien avant ce lieu, ce qui n'est d'ailleurs pas contesté. Le radar qui a détecté l'infraction se situe au point kilométrique 1.470, soit 480 mètres après le début de la limitation le jour des faits. Pour qualifier ledit excès, il faut déterminer si la vitesse sur le tronçon d'autoroute concerné a été réduite pour des raisons de sécurité, ce qui signifierait, à teneur de la jurisprudence du Tribunal fédéral susmentionnée, que le tronçon serait comparable, eu égard au danger potentiel, à une route située en dehors d'une localité. La réduction de la limitation à 80 km/h en ce lieu est liée à la configuration de l'autoroute. En effet, le véhicule de l'appelant venait de quitter l'autoroute de contournement pour s'engager dans une bretelle appelée à se séparer, peu après, en deux voies uniques, sur lesquelles la vitesse était ensuite encore réduite à 60 km/h. La configuration de l'échangeur en ces lieux est particulièrement compliquée, puisque la voie utilisée par l'appelant suit un virage serré avant d'être rapidement rejointe par deux autres, pour former l'autoroute N1aP qui dessert le centre-ville de Genève par Lancy-Carouge, La Praille et la Jonction. La réduction de la vitesse à 80 km/h procède ainsi d'un abaissement progressif lié à des impératifs de sécurité. Contrairement à ce que prétend l'intimé, la portion d'autoroute litigieuse appelle donc une prudence particulière, sa configuration entravant la visibilité du conducteur sur une longue distance. Le danger de collision en cas de bouchon lié à la restriction du trafic sur une seule voie, ou d'accident notamment en raison des multiples directions possibles ou dans le virage serré s'en trouve ainsi fortement augmenté. Au vu de ce qui précède, le tronçon d'autoroute sur lequel a été commis l'excès de vitesse doit être assimilé à une route située en dehors d'une localité, eu égard au danger potentiel, quand bien même il est composé de deux voies dans le même sens de marche. Par conséquent, le dépassement de vitesse litigieux étant supérieur à 30 km/h, soit le seuil retenu pour le cas grave hors localité, il doit être objectivement qualifié de grave, sans égard aux circonstances concrètes du cas alléguées par l'intimé, soit notamment le fait que l'excès de vitesse a été commis par temps clair et dégagé et en l'absence d'autres usagers de la route, élément qui n'est au surplus pas établi. L'appel du MP sera donc admis et l'intimé sera reconnu coupable de violation grave des règles de la circulation routière au sens de l'art. 90 al. 2 LCR.</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Les nouvelles dispositions sur le droit des sanctions sont entrées en vigueur le 1 er janvier 2018. En l'espèce, la nouvelle mouture de l'art. 42 al. 4 CP, prévoyant uniquement la possibilité de prononcer, en plus d'une peine avec sursis, une amende conformément à l'art. 106 CP, est plus favorable à l'intimé. Il sera dès lors fait application du nouveau droit des sanctions en vertu du principe de la lex mitior (art. 2 al. 2 CP).</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comme les frais de déplacement (ATF 142 IV 315 consid. 5.3.2 p. 320 s.; 134 IV 60 consid. 6.1 p. 68).</w:t>
      </w:r>
    </w:p>
    <w:p>
      <w:r>
        <w:rPr>
          <w:b/>
        </w:rPr>
        <w:t>E. 3.4</w:t>
      </w:r>
    </w:p>
    <w:p>
      <w:r>
        <w:t>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3.5</w:t>
      </w:r>
    </w:p>
    <w:p>
      <w:r>
        <w:t>L'amende au sens de l'art. 106 CP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 ATF 134 IV 60 consid. 7.3.1). Il résulte de la place de l'art. 42 al. 4 CP dans la loi que la peine privative de liberté ou la peine pécuniaire assorties du sursis ont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w:t>
      </w:r>
    </w:p>
    <w:p>
      <w:r>
        <w:rPr>
          <w:b/>
        </w:rPr>
        <w:t>E. 3.6</w:t>
      </w:r>
    </w:p>
    <w:p>
      <w:r>
        <w:t>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Le juge dispose, en ce qui concerne la fixation de la peine privative de liberté de substitution, d'un pouvoir d'appréciation plus étendu.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arrêts du Tribunal fédéral 6B_903/2015 du 21 septembre 2016 consid. 1.2).</w:t>
      </w:r>
    </w:p>
    <w:p>
      <w:r>
        <w:rPr>
          <w:b/>
        </w:rPr>
        <w:t>E. 3.7</w:t>
      </w:r>
    </w:p>
    <w:p>
      <w:r>
        <w:t>En l'espèce, la faute de l'intimé est relative. En commettant un excès de vitesse de 33 km/h, pour sa seule convenance personnelle, il a agi au détriment de la sécurité d'autrui et sans considération pour les règles de la circulation applicables sur un tronçon de route qu'il dit pourtant connaître. Sa collaboration tout comme sa prise de conscience de la gravité de ses agissements sont limitées ; s'il a pris l'initiative de relancer le MP lorsque celui-ci tardait à statuer sur son opposition, il a persisté à nier la gravité de la faute commise et à la banaliser. Une peine pécuniaire de 20 jours-amende paraît adaptée à sa faute et à sa situation personnelle. Pour en fixer le montant unitaire, il sera tenu compte en partie seulement de la prime perçue en 2019. Avec un revenu annuel de CHF 500'000.-, soit CHF 41'666.- par mois, et compte tenu de charges qui seront forfaitairement fixées à 30% du revenu (proportion déjà très élevée), le montant du jour-amende est de l'ordre de CHF 920.-. En tenant compte de la prime, le revenu mensuel s'élève à CHF 141'666.-, et le montant théorique du jour-amende à CHF 3'300.-, soit plus que le maximum légal de l'art. 34 al. 2 CP. Afin de tenir compte d'une possible réduction de ladite prime, il se justifie d'en fixer le montant à CHF 2'000.-. En effet, les charges hypothécaires de sa résidence secondaire n'ont pas à être prises en compte, et compte tenu du secteur dans lequel il est actif ( ______ ), peu affecté par la pandémie, aucune diminution de son revenu n'est intervenue en l'état. Cette peine sera assortie du sursis, une peine ferme ne paraissant pas nécessaire pour détourner l'intimé d'autres crimes ou délits. Compte tenu du temps écoulé depuis les faits, le délai d'épreuve sera fixé à deux ans, soit le minimum légal, étant au surplus rappelé que l'inscription au casier judiciaire n'est plus accessible aux tiers à l'échéance de ce délai (cf. art. 371 al. 3 bis CP). Au vu de la faute commise, et en conformité avec la jurisprudence ainsi qu'à des fins de prévention spéciale, le prononcé d'une amende en sus s'impose. Cette dernière sera arrêtée à CHF 8'000.- pour être suffisamment dissuasive et la peine privative de liberté de substitution à quatre jours. Partant l'appel du MP sera admis.</w:t>
      </w:r>
    </w:p>
    <w:p>
      <w:r>
        <w:rPr>
          <w:b/>
        </w:rPr>
        <w:t>E. 4</w:t>
      </w:r>
    </w:p>
    <w:p>
      <w:r>
        <w:t>L'intimé, qui succombe, supportera les frais de la procédure envers l'Etat qui comprennent un émolument de CHF 1'500.- (art. 428 al. 1 CPP). L'intimé sera condamné au paiement des frais de première instance qui s'élèvent à CHF 669.- (art. 428 al. 3 et 426 al. 1 CPP).</w:t>
      </w:r>
    </w:p>
    <w:p>
      <w:r>
        <w:rPr>
          <w:b/>
        </w:rPr>
        <w:t>E. 5</w:t>
      </w:r>
    </w:p>
    <w:p>
      <w:r>
        <w:t>Par voie de conséquence, l'intimé sera débouté de sa requête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