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P/15049/2021 vom 5. April 2022</w:t>
      </w:r>
    </w:p>
    <w:p>
      <w:r>
        <w:t>GE Cour de justice, 2022-04-05, FR</w:t>
      </w:r>
    </w:p>
    <w:p>
      <w:r>
        <w:rPr>
          <w:b/>
        </w:rPr>
        <w:t xml:space="preserve">Quelle: </w:t>
      </w:r>
      <w:r>
        <w:t>https://mcp.opencaselaw.ch/entscheid/ge_gerichte_P_15049_2021</w:t>
      </w:r>
    </w:p>
    <w:p>
      <w:r>
        <w:t>FR: GE_GERICHTE P/15049/2021 du 5 avril 2022</w:t>
      </w:r>
    </w:p>
    <w:p>
      <w:r>
        <w:t>IT: GE_GERICHTE P/15049/2021 del 5 aprile 2022</w:t>
      </w:r>
    </w:p>
    <w:p>
      <w:pPr>
        <w:pStyle w:val="Heading2"/>
      </w:pPr>
      <w:r>
        <w:t>Regeste</w:t>
      </w:r>
    </w:p>
    <w:p>
      <w:r>
        <w:t>CP.189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Tribunal ordonnera les restitutions d'usage qui s'imposent (art. 267 al. 1 et 3 CPP).</w:t>
      </w:r>
    </w:p>
    <w:p>
      <w:r>
        <w:rPr>
          <w:b/>
        </w:rPr>
        <w:t>E. 6</w:t>
      </w:r>
    </w:p>
    <w:p>
      <w:r>
        <w:t>En sa qualité de défenseur d'office, le conseil du prévenu se verra allouer une indemnité de CHF 9'464.45 (art. 135 CPP).</w:t>
      </w:r>
    </w:p>
    <w:p>
      <w:r>
        <w:rPr>
          <w:b/>
        </w:rPr>
        <w:t>E. 7</w:t>
      </w:r>
    </w:p>
    <w:p>
      <w:r>
        <w:t>Le prévenu sera condamné en tous les frais de la procédure, qui s'élèvent à CHF 19'457.92, y compris un émolument de jugement de CHF 1'000.- (art. 426 al. 1 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