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P/15020/2012 vom 2. März 2015</w:t>
      </w:r>
    </w:p>
    <w:p>
      <w:r>
        <w:t>GE Cour de justice, 2015-03-02, FR</w:t>
      </w:r>
    </w:p>
    <w:p>
      <w:r>
        <w:rPr>
          <w:b/>
        </w:rPr>
        <w:t xml:space="preserve">Quelle: </w:t>
      </w:r>
      <w:r>
        <w:t>https://mcp.opencaselaw.ch/entscheid/ge_gerichte_P_15020_2012</w:t>
      </w:r>
    </w:p>
    <w:p>
      <w:r>
        <w:t>FR: GE_GERICHTE P/15020/2012 du 2 mars 2015</w:t>
      </w:r>
    </w:p>
    <w:p>
      <w:r>
        <w:t>IT: GE_GERICHTE P/15020/2012 del 2 marzo 2015</w:t>
      </w:r>
    </w:p>
    <w:p>
      <w:pPr>
        <w:pStyle w:val="Heading2"/>
      </w:pPr>
      <w:r>
        <w:t>Regeste</w:t>
      </w:r>
    </w:p>
    <w:p>
      <w:r>
        <w:t>ADMINISTRATION DES PREUVES; IN DUBIO PRO REO; PRÉSOMPTION D'INNOCENCE; VIOLATION DE DOMICILE; CONTRAINTE(DROIT PÉNAL); ENLÈVEMENT(INFRACTION); BRIGANDAGE; ASSISTANCE JUDICIAIRE; DÉFENSE D'OFFICE | CPP.389; CPP.403; CPP.331.1; CPP.135; Cst.32.1; CPP.10.3; CP.186; CP.181; CP.183; CP.140</w:t>
      </w:r>
    </w:p>
    <w:p>
      <w:pPr>
        <w:pStyle w:val="Heading2"/>
      </w:pPr>
      <w:r>
        <w:t>Erwägungen</w:t>
      </w:r>
    </w:p>
    <w:p>
      <w:r>
        <w:rPr>
          <w:b/>
        </w:rPr>
        <w:t>E. 5</w:t>
      </w:r>
    </w:p>
    <w:p>
      <w:r>
        <w:t>4. La faute de l’appelant est grave. Par seul appât d’un gain facile, il s’en est pris avec violence à la liberté et au patrimoine de la partie plaignante, personne âgée, vivant seule. Avec ses comparses, il n’a pas hésité à user de ruse pour s’introduire au domicile de la partie plaignante, en sa présence, afin de lui dérober quelques centaines de francs et un téléphone portable. Au vu de la variabilité de ses déclarations, tendant finalement à mettre en cause de manière inappropriée la victime elle-même en raison de ses pratiques sexuelles inusuelles, la prise de conscience de l’appelant apparaît inexistante. Ne démontrant aucune empathie à l’égard de l’intimé, l’opportunité apparaît être la seule motivation des faibles regrets formulés pour la première fois en audience d’appel. Il y a concours d’infractions. L’appelant est sans antécédents en Suisse. Ceux qu’il a en ______ relèvent de sa minorité. Ces éléments constituent un facteur neutre dans la fixation de la peine (ATF 136 IV 1 consid 2.6). Dans son pays d’origine, l’appelant avait la possibilité de vivre d’une activité licite en tant que chauffeur de taxi ou dans le domaine du bâtiment, tout en étant entouré de sa famille et d’être présent pour son enfant. Il a néanmoins choisi de perpétrer des actes illicites en Suisse pour des mobiles égoïstes et mercantiles. Compte tenu de ce qui précède, de la gravité des faits reprochés et de la situation personnelle de l’appelant, la peine privative de liberté de 3 ans et 6 mois infligée par les premiers juges apparaît adéquate et proportionnée. Selon les principes susrappelés, elle ne permet pas l’octroi du sursis, même partiel. 6) Vu l'issue de la procédure d'appel, les prétentions en indemnisation formulées par l'appelant A______ sont infondées et doivent être rejetées (art. 429 CPP). ![endif]&gt;![if&gt; 7) Les motifs ayant conduit le Tribunal correctionnel à prononcer, par ordonnance séparée du 16 octobre 2014, le maintien de l'appelant, en détention pour des motifs de sûreté sont toujours d'actualité, ce que celui-ci ne conteste au demeurant pas, de sorte que la mesure sera reconduite mutatis mutandis (ATF 139 IV 277 consid. 2.2 à 2.3).![endif]&gt;![if&gt; 8) L’appelant A______, qui succombe, supportera la moitié des frais de la procédure d’appel comprenant un émolument de CHF 2'500.- (art. 428 CPP). Vu la qualité de l'autre appelant et l'issue de son appel, le solde des frais sera laissé à la charge de l'Etat. ![endif]&gt;![if&gt; 9) 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05.04).![endif]&gt;![if&gt;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 l'état de frais détaille par rubriques les activités donnant lieu à indemnisation, avec indication du temps consacré. Les justificatifs des frais sont joints. Les directives du greffe sont applicables pour le surplus ».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9.2. Me B______ a été désignée défenseur d'office de l'appelant le 23 novembre 2013 . Elle a adressé une demande d'indemnisation par-devant la CPAR le 22 janvier 2015. S'agissant de l'activité déployée devant la juridiction d'appel, ledit état de frais est composé de 9 heures 30 minutes d'activité de cheffe d'étude, dont 180 minutes prévues pour l’audience du 27 janvier 2015, temps devant être réduit à 2 heures 30 minutes. L'état de frais sera ainsi admis à concurrence de 9 heures d'activité de cheffe d'étude, ce qui correspond à une indemnité de base de CHF 1'800.-. Dans la mesure où l’activité déployée en première instance en sus de celle effectuée en appel est vraisemblablement supérieure à 30 heures, il convient d'ajouter à ce montant l'indemnisation forfaitaire de 10 %, soit CHF 180.-. Compte tenu du domicile à l’étranger de l’appelant A______, il n’y a pas lieu d’ajouter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