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P/15004/2014 vom 25. August 2015</w:t>
      </w:r>
    </w:p>
    <w:p>
      <w:r>
        <w:t>GE Cour de justice, 2015-08-25, FR</w:t>
      </w:r>
    </w:p>
    <w:p>
      <w:r>
        <w:rPr>
          <w:b/>
        </w:rPr>
        <w:t xml:space="preserve">Quelle: </w:t>
      </w:r>
      <w:r>
        <w:t>https://mcp.opencaselaw.ch/entscheid/ge_gerichte_P_15004_2014</w:t>
      </w:r>
    </w:p>
    <w:p>
      <w:r>
        <w:t>FR: GE_GERICHTE P/15004/2014 du 25 août 2015</w:t>
      </w:r>
    </w:p>
    <w:p>
      <w:r>
        <w:t>IT: GE_GERICHTE P/15004/2014 del 25 agosto 2015</w:t>
      </w:r>
    </w:p>
    <w:p>
      <w:pPr>
        <w:pStyle w:val="Heading2"/>
      </w:pPr>
      <w:r>
        <w:t>Regeste</w:t>
      </w:r>
    </w:p>
    <w:p>
      <w:r>
        <w:t>IN DUBIO PRO REO; POUVOIR D'APPRÉCIATION; VOL(DROIT PÉNAL); INFRACTION D'IMPORTANCE MINEURE; BANKCARD; ESCROQUERIE; UTILISATION FRAUDULEUSE D'UN ORDINATEUR; COAUTEUR(DROIT PÉNAL); TENTATIVE(DROIT PÉNAL); FIXATION DE LA PEINE; CONCOURS D'INFRACTIONS; SURSIS À L'EXÉCUTION DE LA PEINE; RISQUE DE RÉCIDIVE | CP.389; CP.139.1; CP.146; CP.147; CP.22; CPP.126.1.a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 CPAR fait siens les motifs de l’ordonnance présidentielle OARP/247/2015 du 3 août 2015, qui ont présidé au refus d’ordonner les réquisitions de preuves formulées par l’appelant, au demeurant non réitérées durant les débats.</w:t>
      </w:r>
    </w:p>
    <w:p>
      <w:r>
        <w:rPr>
          <w:b/>
        </w:rPr>
        <w:t>E. 3</w:t>
      </w:r>
    </w:p>
    <w:p>
      <w:r>
        <w:t>3.1.1. Le principe in dubio pro reo , qui découle de la présomption d'innocence, garantie par l'art. 6 ch. 2 Convention de sauvegarde des droits de l’homme et des libertés fondamentales du 4 novembre 1950 [CEDH - RS 0.101] et, sur le plan interne, par l'art. 32 al. 1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3.1.2. Le juge du fait dispose d'un large pouvoir dans l'appréciation des preuves (ATF 120 Ia 31 précité). Lorsqu'il est confronté à des versions contradictoires, il forge sa conviction sur la base d'un ensemble d'éléments ou d'indices convergents. En pareil cas, il ne suffit pas que l'un ou l'autre de ceux-ci ou même chacun d'entre eux pris isolément soit à lui seul insuffisant.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127 I 38 consid. 2a p. 41 ; 120 Ia 31 précité ; arrêts du Tribunal fédéral 6B_827/2007 du 11 mars 2008 consid. 5.1 et 6P.114/2006 du 17 août 2006 consid. 2.1). 3.2.1.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3.2.2.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 266).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123 IV 113 consid. 3d p. 119; arrêt du Tribunal fédéral 6B_208/2009 du 8 septembre 2009 consid. 1). Pour les objets n’ayant pas de valeur marchande, ou n’ayant pas de valeur déterminable, il faut rechercher la valeur que la chose a concrètement pour la victime. On peut également tenir compte du montant que l’auteur serait disposé à payer à la victime pour acquérir la chose (ATF 116 IV 90 consid. 2b/aa p. 192). Indépendamment du fait que le dessein d'enrichissement ne fait pas partie de l'intention mais constitue un élément subjectif supplémentaire, l'avantage patrimonial sur lequel le dessein d'enrichissement porte ne correspond pas forcément à la valeur de la chose soustraite, laquelle peut même être dénuée de toute valeur. L'enrichissement peut consister en un avantage patrimonial indirect que le voleur se procure en usant de la chose soustraite. L'avantage patrimonial peut ainsi correspondre à la contre-valeur que l'on reçoit en échange de la chose volée, comme pour les titres de rationnement ou découler de l'emploi que l'on en fait, comme c'est par exemple le cas d'une lettre compromettante volée en vue de chantage. Dans ces deux cas, l'auteur soustrait à l'ayant droit une chose, non pas à cause de sa valeur intrinsèque, mais bien en fonction de sa valeur d'usage, le dessein d'enrichissement illégitime s'étendant à cette dernière valeur (ATF 111 IV 74 consid. 1 p.75). 3.2.3. 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 cf . ATF 119 IV 210 consid. 3 p. 212).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Pour qu'il y ait escroquerie, une simple tromperie ne suffit cependant pas ;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L'astuce sera également admise lorsque l'auteur exploite un rapport de confiance préexistant propre à dissuader la dupe d'effectuer certaines vérifications (ATF 126 IV 165 consid. 2a p. 171 ; 125 IV 124 consid. 3a p. 127 s. et les arrêts cités).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 3.2.4. L'art. 147 CP punit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L'infraction réprimée par l'art. 147 CP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d'escroquerie informatique", revêt ainsi un caractère subsidiaire par rapport à l'escroquerie; si la manipulation d'une machine ne suffit pas pour obtenir le résultat, mais qu'il faut encore qu'une personne soit trompée, l'escroquerie prime l'utilisation frauduleuse d'un ordinateur (ATF 129 IV 22 , consid. 4.2 et références citées). 3.2.5.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3.2.6.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La tentative suppose que l'auteur réalise tous les éléments subjectifs de l'infraction et qu'il manifeste sa décision de la commettre, mais sans en réaliser tous les éléments objectifs (ATF 120 IV 199 consid. 3e p. 206). 3.3.1. En l'espèce, l'appelant a reconnu avoir dérobé la carte bancaire de l'intimé C______, avec le but évident de s'en servir pour procéder à des retraits d'espèces sur le compte de cette victime. Si le morceau en plastique qu'est une carte bancaire n'a intrinsèquement qu'une valeur minime, il est patent que pour son légitime utilisateur, et a fortiori pour l'appelant, elle a une toute autre valeur, allant au-delà des CHF 300.- fixés par la jurisprudence, s'agissant en effet pour ce dernier d'en faire usage pour retirer autant d'espèces que possible par ce moyen. La notion d'élément patrimonial de faible valeur que l'appelant veut voir attacher à ce morceau de plastique, respectivement aux frais de remplacement, ne saurait s'appliquer dans ce cas d'espèce puisque précisément cet objet a davantage de valeur pour l'appelant que le coût du seul support. Il ne saurait partant être fait application de l'art. 172ter CP de sorte que la condamnation de l'appelant A______ pour le vol de la carte bancaire de l'intimé C______ sera confirmée. Ce raisonnement s'appliquera mutatis mutandis au cas du vol de la carte bancaire L______ de la plaignante D______ sur lequel il sera revenu infra sous consid. 3.3.2. 3.3.2. S'agissant du vol de CHF 13'000.-/14'000.- et de la carte bancaire L______ déplorés par l'intimée D______, la CPAR a acquis la conviction que l'appelant en est bien l'auteur, ce nonobstant ses dénégations. L'intimée D______ a en effet été constante et cohérente sur le fait qu'elle n'avait à aucun moment confié cette somme de plusieurs milliers de francs, ni ladite carte bancaire à l'appelant. Malgré ses problèmes de mémoire, clairement manifestés durant l'enquête, elle a su expliquer de manière crédible par quel stratagème l'appelant A______ avait réussi à savoir qu'elle conservait une telle somme et sa carte bancaire dans une cachette dans sa chambre à coucher. Il l'a pour ce faire mise en confiance en la complimentant si bien qu'en quelques jours elle tombe amoureuse de lui, et a prétexté lui demander de cacher EUR 50.- ou 500.- pour lui, précisément là où elle dissimulait ses économies, à l'évidence pour en connaître l'endroit. L'appelant A______ a quant à lui admis savoir que l'intimée D______ conservait plus de CHF 13'000.- à son domicile, pour en avoir parlé avec elle, qui lui avait prétendument fait part de ses craintes qu'une femme de ménage, de remplacement, ne les lui volât, de même que sa carte bancaire, raison pour laquelle il aurait proposé à la partie plaignante de les conserver. Cette explication est dénuée de toute crédibilité. En effet, les trois enveloppes retrouvées éparpillées autour de l'appelant après son saut du balcon de la voisine de cette victime contenaient respectivement CHF 5'000., 1'300.- et 800.-. Manquaient donc CHF 5'900.-, point sur lequel l'appelant n'a jamais donné d'autre explication que le fait qu'il avait bien sur sa personne la totalité de la somme au moment de sa chute. C'est donc dire qu'il n'est pas allé, contrairement à ce qu'il aurait prétendu, mettre en sécurité toutes ces espèces, qui ne l'étaient assurément pas sur sa personne, mais au contraire en a probablement dépensé et/ou dissimulé une bonne partie en quelques heures seulement, étant rappelé qu'aucune fouille domiciliaire n'a été possible dans la mesure où l'appelant a refusé de donner toutes indications sur la personne qui l'aurait logé soi-disant à U______, et qu'il est connu pour être un joueur au PMU (témoignage Z______). Par ailleurs, la carte bancaire L______ de l'intimée D______, ainsi qu'une lettre contenant un code PIN et d'autres papiers à son nom ont été retrouvés dans la poche avant de la chemise de l'appelant A______ le 4 août 2014 dans la soirée, étant rappelé que la victime faisait remonter la disparition de son argent à la nuit du 3 au 4 août. L'appelant n'est pas venu prétendre qu'en plus de sa carte, la victime lui aurait remis son code PIN et d'autres papiers personnels, ce qui atteste s'il en était encore besoin, qu'il a bien dérobé tous ces effets à cette personne âgée pour s'enrichir et qu'ils ne lui ont été nullement confiés. Pour ces raisons, le jugement de première instance sera confirmé dans la mesure où il a condamné l'appelant A______ pour le vol de CHF 13'000.- et de la carte bancaire de l'intimée D______, étant au surplus renvoyé au considérant 3.3.1 ci-dessus s'agissant de la valeur à attribuer à ladite carte bancaire. 3.3.3. Il ne subsiste plus aucun doute, fait d'ailleurs reconnu par l'appelant A______, qu'au moyen de la carte bancaire dérobée à l'intimé C______ et après s'être procuré le code PIN que la victime aurait pu écrire sur un billet, il a, le 25 juin 2014 en fin d'après-midi, puis dans la soirée, prélevé à l'insu du titulaire du compte les montants de CHF 700.- puis CHF 500.- auprès de bancomats de l'O______. C'est à l'évidence ce même modus operandi qu'il a tenté de mettre en œuvre le 4 août 2014 entre 16h40 et 16h47 en cherchant vainement, lui-même ou un comparse, à trois reprises, à retirer de l'argent sans droit du compte bancaire de l'intimée D______, dont il venait de dérober la carte de même qu'un code PIN qui s'est avéré être erroné. Il sera rappelé que quelques heures plus tard seulement, l'appelant a été retrouvé en possession de la carte bancaire L______ de la victime ainsi que d'un papier sur lequel figurait ce code PIN. L'un des numéros IMEI de l'appelant A______ a par ailleurs activé une antenne téléphonique à 16h27 à Chêne Bourg, soit quelques minutes avant les tentatives de retraits frauduleux. À l'inverse, son appareil téléphonique n'a activé aucune borne téléphonique à U______, que ce soit dans la journée ou la soirée du 4 août 2014, soit au moment où il y aurait fait une sieste, selon ses dires et où la personne le logeant aurait pu dérober la carte bancaire utilisée qu'il conservait dans sa chemise et qu'il aurait récupérée dans ce même vêtement en revenant le soir à U______, après avoir constaté qu'elle ne se trouvait pas dans une seconde chemise qu'il avait enfilée après sa sieste. De telles déclarations, pour le moins fantaisistes, sont dénuées de toute crédibilité. S'il n'est pas possible, sur la base des photographies issues des caméras de surveillance, d'affirmer que l'appelant A______ est l'auteur de ces tentatives de retrait, et qu'il pourrait s'agir d'un tiers, c'est bien s'associant pleinement et sans réserve que tous deux ont agi, soit en qualité de coauteurs, dans le but de s'enrichir. L'appelant a d'ailleurs pu partager le butin issu du vol de CHF 13'000.- avec ce comparse, ce qui pourrait aussi expliquer le fait qu'il en manquât approximativement la moitié au moment de son interpellation quelques heures plus tard. C'est ainsi à juste titre que les premiers juges ont reconnu l'appelant A______ coupable d'infraction à l'art. 147 CP - cas C______ - et de tentative d'utilisation frauduleuse d'un ordinateur - cas D______. 3.3.4. Il n'est pas discuté et au demeurant établi par les pièces versées au dossier, que l'intimé C______ a viré par le biais de F______, en faveur de l'appelant, en N______, un montant global de CHF 15'570.15 plus frais de transfert de CHF 1'127.05, entre le 31 janvier 2014 et le 28 mai 2014. Il est également constant qu'au moment de ces virements, appelant et intimé entretenaient une relation d'amitié depuis de nombreuses années, du moins du point-de-vue de la partie plaignante. Celle-ci avait hébergé à plusieurs reprises l'appelant. L'intimé C______ avait 68 ans au moment des faits, vivait seul et n'avait pas de famille proche, ce que l'appelant savait. Ainsi, lorsque ce dernier l'a contacté au début de l'année 2014 pour lui dire qu'il avait besoin d'argent, certain qu'il se trouvait dans une situation dramatique en N______ et avait urgemment besoin d'argent pour ses projets de retour en Europe avec un ami, tel qu'il l'exposait, et parce qu'il prétendait avoir EUR 20'000.- en N______, qu'il ne pouvait toutefois sortir du pays vu le contrôle des devises, l'intimé C______ lui a consenti un prêt, échelonné selon ses possibilités. La CPAR a nul doute que comme l'a relaté le plaignant, l'appelant A______ lui a raconté des fadaises pour parvenir à ses fins, soit lui soutirer de l'argent, exploitant ce lien d'amitié et ayant compris la grande générosité de l'intimé C______, ainsi que la naïveté dont il faisait preuve. Il y a partant bien eu tromperie dans le cas d'espèce. L'astuce ne saurait par contre être retenue. Si le comportement de l'appelant A______ n'en est pas moins exécrable, il faut considérer, pour déterminer quelles vérifications et attention il y avait lieu d'attendre de l'intimé C______, ce qui s'est passé quelques années plus tôt et qui relève du même schéma : il ressort de la procédure instruite en 2010 qu'alors, sur plusieurs années, le plaignant avait déjà remis des montants conséquents à l'appelant A______, de plus en plus importants, soit jusqu'à CHF 2'200.- en une seule fois, ce pour un total de CHF 50'000.- environ dont il n'avait jamais obtenu le remboursement. L'intimé C______ avait à l'époque lui-même indiqué que l'appelant lui avait demandé ces montants pour fournir un fond de caisse déjà pour des emplois dans la restauration, comme serveur, entre autres motifs. Ce dernier, pour convaincre l'intimé d'un remboursement à venir, lui avait déjà parlé de fonds dont il aurait pu disposer, sur un compte bancaire en N______, allant jusqu'à faire intervenir un tiers au téléphone pour asseoir son mensonge. Entendu par la police et par un juge d'instruction à l'époque, l'intimé C______ avait exprimé clairement à quel point il avait été naïf. Il n'en a pas moins, quelques années plus tard, réitéré en tous points le même comportement, suite aux mêmes sollicitations et balivernes de l'appelant et avec le même genre d'explications, ne prenant pas la peine de lui demander une quelconque pièce attestant de la possession de EUR 20'000.- en N______ avant de lui verser dans ce pays, sans même de garantie qu'il revienne un jour en Suisse, plus de CHF 15'000.- hors frais de transfert. L'intimé C______ a précisé avoir eu des doutes à un moment, ayant pensé à se rendre au consulat de N______, s'en abstenant toutefois au final et persistant au contraire à verser des montants supplémentaires à l'appelant. Il n'a pas non plus cherché à vérifier les dires de l'appelant quant aux prétendus problèmes de change l'empêchant de convertir des Euros en M______ ou de sortir de telles espèces du pays. Lorsque l'appelant est arrivé en Suisse, le plaignant n'a de même pas fait davantage de vérification pour s'assurer qu'il avait bien un emploi de serveur à W______, pour lui remettre au minimum CHF 500.-, à la fin du mois de mai ou au début du mois de juin 2014, avec les mêmes explications que par le passé, à savoir qu'il en avait besoin pour son fond de caisse, soit une pratique nullement connue en Suisse et dénuée de toute logique. Ces motifs pour fonder cette nouvelle demande d'argent, des plus fantaisistes, comme relevé, n'en sont pas moins les mêmes que ceux articulés quelques années plus tôt par l'appelant et qui avaient fait dire à l'intimé durant l'enquête qu'il avait été naïf. Il sera encore relevé que l'intimé C______, âgé de moins de 70 ans au moment des faits, disposait manifestement de toutes ses capacités cognitives et volitives, étant encore rappelé qu'il avait une activité professionnelle de bon niveau, ayant occupé un poste de professeur de français dans une école privée reconnue à Genève. L'ensemble de ces circonstances devait l'amener à se montrer plus prudent avant de remettre les montants en question à l'appelant A______. Il ne pouvait se baser sur l'information selon laquelle le prévenu aurait disposé en N______ de EUR 20'000.-, ni sur celle qu'un ami N______, qui vivrait en I______, aurait par la suite pu lui prêter somme de EUR 5'000.-, non sans avoir contracté un crédit, pour le rembourser le moment venu, pour sans autre vérification lui verser près de CHF 20'000.- alors même qu'il n'avait pas recouvré les environ CHF 50'000.- remis jusqu'en 2010. L'élément de l'astuce faisant défaut, l'appelant A______ doit être acquitté du chef d'escroquerie et le jugement de première instance modifié sur ce point. 3.3.5. L'appelant ne remet pas en cause, à juste titre, sa condamnation pour entrée et séjour illégaux en Suisse pour la période du mois de mai 2014 au 4 août 2014.</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4.1.3.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La partie à exécuter ne peut excéder la moitié de la peine (al. 2). En cas de sursis partiel à l'exécution d'une peine privative de liberté, la partie suspendue, de même que la partie à exécuter, doivent être de six mois au moins (al. 3). 4.1.4.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Ainsi, en présence d'une condamnation à une peine privative de liberté de six mois dans les cinq ans qui précèdent, l'octroi du sursis n'entrera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des circonstances particulièrement favorables. Tel sera notamment le cas si l'infraction à juger n'a aucun rapport avec l'infraction antérieure ou que les conditions de vie du condamné se sont modifiées de manière particulièrement positive (ATF 134 IV 1 consid. 4.2.3).</w:t>
      </w:r>
    </w:p>
    <w:p>
      <w:r>
        <w:rPr>
          <w:b/>
        </w:rPr>
        <w:t>E. 4.2</w:t>
      </w:r>
    </w:p>
    <w:p>
      <w:r>
        <w:t>La faute de l’appelant est importante. Il s'en est pris au patrimoine d'autrui, cherchant à s'enrichir d'un montant global de plus de CHF 14'200.-, avant que CHF 7'100.- ne puissent être rendus à la victime D______ et sans compter les tentatives de retraits frauduleux au préjudice de cette dernière. Il n'a agi que dans le but de financer sans effort ses besoins personnels, constatant que ses stratagèmes fonctionnaient. Ses actes apparaissent d'autant plus répréhensibles qu'il s'en est pris à plus faible que lui, à savoir des personnes âgées et vulnérables. Par le biais de multiples mensonges et mises en scène, il est parvenu à initier et entretenir de véritables relations affectives avec ses victimes, lui permettant d'acquérir leur confiance et d'asseoir son emprise sur chacune d'elles, ce en quelques jours seulement pour l'intimée D______. Vis-à-vis de l'intimé C______, l'appelant a exploité des années de liens que le premier croyait amicaux avant de lui dérober sa carte de crédit et de procéder à deux retraits frauduleux, alors même qu'il lui avait jusque-là concédé des prêts sous de faux prétextes, pour près de CHF 70'000.-. Il n'a par ailleurs pas hésité à revenir en Suisse, bien qu'y faisant l'objet d'une décision d'interdiction d'entrée, et à y séjourner plusieurs mois, rien n'indiquant qu'il aurait eu la volonté de quitter ce pays s'il n'avait été interpellé par la police. Le mobile, égoïste, était celui de l'appât du gain facile et de pure convenance s'agissant de son séjour illégal en Suisse. Le modus operandi global était réfléchi, de sa venue en Suisse à la manière dont il a abusé de personnes âgées. Les faits n’ont cessé que lorsque l'une des victimes a pris, avec l'aide de sa famille, conscience de la supercherie, étant relevé qu'elle n'aurait pas appelé la police sans incitation de ses proches, tant elle était amoureuse de l'appelant, la chute de ce dernier du balcon lui ayant d'ailleurs causé une grande peine. L'appelant n'a jamais manifesté d'intention de cesser ses agissements. Il n'a, en sus, pas hésité à se servir, respectivement cherché à le faire, sur le compte bancaire des parties plaignantes. L’intensité de la volonté délictueuse était donc grande. Les conséquences des actes de l'appelant ne se résument pas au dommage matériel. L'intimée D______ se voit pour bonne partie privée des économies laissées par son époux décédé. Les deux victimes ont aussi été déçues au niveau affectif, ayant nourri des sentiments amoureux pour l'une et amicaux pour l'autre pour une personne qui n'avait d'idée que de les voler. La collaboration de l’appelant a été mauvaise. Il a persisté à minimiser les faits, tant dans leur nature que dans leur ampleur, et à soutenir l’invraisemblable pour se disculper d’avoir abusé de la fragilité et de la charité de personnes âgées vulnérables. Il ne montre ainsi aucune prise de conscience. Les excuses présentées lors des audiences de jugement et d'appel paraissent de pure circonstance, dans la mesure où il reste dans le déni en particulier pour le vol des espèces de l'intimée D______, ne se montrant pour le surplus nullement critique quant à son comportement vis-à-vis de l'intimé C______ dont il a abusé durant des années, quand bien même il n'est au final pas condamné pour les faits qualifiés d'escroquerie. Les antécédents judiciaires de l’appelant sont également mauvais, y compris sous l’angle de la spécificité. Ses diverses condamnations pour des infractions similaires, notamment pour avoir volé la carte bancaire d'une femme âgée de 95 ans et avoir retiré plus de CHF 60'000.- grâce à cette carte, démontrent qu'il n'a aucun scrupule à s'attaquer à des personnes faibles et vulnérables, à l'image de ce qu'ont relaté que les témoins S______, V______, X______, et Z______, laissant clairement douter des bonnes intentions de l'appelant à leur égard en entrant en relation avec elles. Sa situation personnelle n'explique en rien ses agissements. Compte tenu de ce qui précède, la quotité de la peine, arrêtée à trois ans par les premiers juges, était proportionnée à la faute de l’appelant et aux circonstances dans lesquelles il avait agi. Dans la mesure toutefois où il est acquitté pour le volet de l'escroquerie au préjudice de l'intimé C______, cette peine sera ramenée à deux ans et six mois. Le jugement de première instance sera modifié sur ce point.</w:t>
      </w:r>
    </w:p>
    <w:p>
      <w:r>
        <w:rPr>
          <w:b/>
        </w:rPr>
        <w:t>E. 4.3</w:t>
      </w:r>
    </w:p>
    <w:p>
      <w:r>
        <w:t>L'appelant a été condamné à deux peines privatives de liberté de six mois au moins durant les cinq ans précédant les infractions commises dans le cadre de la présente procédure. Ainsi, seules des circonstances particulièrement favorables permettraient l'octroi du sursis partiel. Il apparait qu'il a commis des infractions identiques à celles pour lesquelles il a déjà été condamné, jetant en particulier, à nouveau, son dévolu sur des personnes âgées, obtenant leur confiance pour les dépouiller plus facilement. En outre, comme déjà mentionné, il n'a nullement pris conscience de la gravité de ses agissements. Partant, le pronostic quant à son amendement est extrêmement défavorable, si bien qu'il ne saurait bénéficier du sursis. Le jugement entrepris sera donc confirmé en tant qu'il a refusé à l'appelant l'octroi d'un sursis partiel.</w:t>
      </w:r>
    </w:p>
    <w:p>
      <w:r>
        <w:rPr>
          <w:b/>
        </w:rPr>
        <w:t>E. 5</w:t>
      </w:r>
    </w:p>
    <w:p>
      <w:r>
        <w:t>5.1.1. En vertu de l'art. 126 al. 1 lit.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5.1.2. Selon l’art. 41 al. 1 du Code des obligations du 30 mars 1911 (CO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w:t>
      </w:r>
    </w:p>
    <w:p>
      <w:r>
        <w:rPr>
          <w:b/>
        </w:rPr>
        <w:t>E. 5.2</w:t>
      </w:r>
    </w:p>
    <w:p>
      <w:r>
        <w:t>La partie plaignante C______ a sollicité le paiement d'un montant de CHF 18'397,20, correspondant aux sommes versées à l'appelant en N______ entre les 31 janvier et 28 mai 2014, via F______, soit CHF 15'570.15, les frais y afférents de CHF 1'127.05, aux CHF 500.- remis au prévenu à Genève en mai ou en juin 2014, et aux CHF 1'200.- que le prévenu a retiré de son compte bancaire le 25 juin 2014. Dans la mesure où l'appelant est acquitté pour les faits qualifiés d'escroquerie, correspondant à CHF 17'197.05 du dommage allégué, il ne sera fait que partiellement droit à ces conclusions civiles, soit à hauteur de CHF 1'200.- correspondant aux retraits frauduleux du 25 juin 2014, étant précisé que si de petits versements sont intervenus en faveur de l'intimé par le biais d'une agence de transferts, c'était antérieurement à ces retraits frauduleux, de sorte qu'ils ne sauraient venir en déduction de ce montant, pas plus que les quelques au plus centaines de francs versés par l'appelant à Genève en remboursement des prêts concédés pour les "fonds de caisse". En conséquence, le jugement entrepris sera modifié pour l'intimé C______ à qui il ne sera donné droit à ses conclusions qu'à hauteur de CHF 1'200.-. L'intimée D______ requiert le paiement d'un montant de CHF 5'900.- correspondant à la différence entre les CHF 13'000.- qui lui ont été dérobés par le prévenu en août 2014, et les CHF 7'100.- qui ont pu être récupérés au moment de son interpellation. Le dommage subi par la partie plaignante correspondant au montant qu'elle a sollicités et ayant été causé par des infractions contre le patrimoine à son détriment pour lesquelles l'appelant est sanctionné, la condamnation de ce dernier par les premiers juges à verser l'entier de ses conclusions à l'intimée D______ sera confirmée.</w:t>
      </w:r>
    </w:p>
    <w:p>
      <w:r>
        <w:rPr>
          <w:b/>
        </w:rPr>
        <w:t>E. 6</w:t>
      </w:r>
    </w:p>
    <w:p>
      <w:r>
        <w:t>Les motifs ayant conduit les premiers juges à prononcer, par ordonnance séparée du 9 juin 2015, le maintien de l'appelant A______, en détention pour des motifs de sûreté sont toujours d'actualité, de sorte que la mesure sera reconduite mutatis mutandis (ATF 139 IV 277 consid. 2.2 à 2.3).</w:t>
      </w:r>
    </w:p>
    <w:p>
      <w:r>
        <w:rPr>
          <w:b/>
        </w:rPr>
        <w:t>E. 7</w:t>
      </w:r>
    </w:p>
    <w:p>
      <w:r>
        <w:t>Dans la mesure où l'appelant est acquitté en appel du chef d'escroquerie, les trois-quarts des frais de première instance seront mis à sa charge et le jugement de première instance modifié sur ce point. L'appelant, qui succombe pour bonne partie en appel, supportera les trois-quarts des frais de la procédure de seconde instance, comprenant un émolument de jugement de CHF 2'000.- (art. 428 CPP). Le solde des frais de première instance et d'appel sera laissé à charge de l'Etat.</w:t>
      </w:r>
    </w:p>
    <w:p>
      <w:r>
        <w:rPr>
          <w:b/>
        </w:rPr>
        <w:t>E. 8</w:t>
      </w:r>
    </w:p>
    <w:p>
      <w:r>
        <w:t>L'appelant ne remet, à juste titre, pas en cause la compensation par les premiers juges des espèces, saisies sur sa personne et séquestrées par le Ministère public le 31 mars 2015, soit les sommes de EUR 500.-, CHF 237.40 et M______ 10.-, avec les frais de la procédure.</w:t>
      </w:r>
    </w:p>
    <w:p>
      <w:r>
        <w:rPr>
          <w:b/>
        </w:rPr>
        <w:t>E. 9</w:t>
      </w:r>
    </w:p>
    <w:p>
      <w:r>
        <w:t>9.1.1.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9.1.2.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jusqu'à présent inspirée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Dans une ordonnance du 3 août 2015 (BB.2015.35),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9.1.3. En l’espèce, Me B______ a été nommée défenseur d’office de l’appelant par ordonnance du 19 décembre 2014. La note d’honoraire comporte 16h15' minutes d’activité. Toutefois, les postes « annonce d'appel » et « déclaration d'appel » comptant 1h15' seront écartés à raison de 1h, puisque, s'agissant de courriers qui n'ont pas à être motivés, sont compris dans le forfait pour les activités diverses ; il sera toutefois retenu 15 minutes pour la réquisition de preuve figurant dans la déclaration d'appel. De même, le poste « Conférence avec le client à la prison de Champ-Dollon » comptant 6h doit être ramené à 4h30', l'entretien après l'audience dépassant le cadre de la procédure d'appel. Il convient également de ne pas indemniser pleinement une nouvelle étude du dossier, la seule nouvelle pièce versée à la procédure au stade de l’appel étant liée à l'activité déployée par l'appelant en détention, dont la lecture ne nécessite pas une réétude complète de la procédure, ce qui vaut également pour le temps de préparation de la plaidoirie. Ces deux postes seront ramenés à 5h. Enfin l'audience en appel a duré 1h. Pour le surplus, l’activité exercée par Me B______ pour la défense des intérêts de l’appelant est en adéquation avec la nature, l'importance et la difficulté de la cause. En définitive, il sera retenu 10h45 d’activité pour une collaboratrice, au tarif horaire de CHF 125.-, correspondant à une indemnité de base de CHF 1'343.75. Il convient d'ajouter au montant précité l'indemnisation forfaitaire de 10%, au vu de l'ampleur de l'activité déployée en première instance, soit CHF 134.40. L'indemnisation sera dès lors accordée à hauteur de CHF 1'478.15.- (sans TVA, Me B______, collaboratrice, n'y étant pas assujettie).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