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P/14987/2011 vom 15. April 2013</w:t>
      </w:r>
    </w:p>
    <w:p>
      <w:r>
        <w:t>GE Cour de justice, 2013-04-15, FR</w:t>
      </w:r>
    </w:p>
    <w:p>
      <w:r>
        <w:rPr>
          <w:b/>
        </w:rPr>
        <w:t xml:space="preserve">Quelle: </w:t>
      </w:r>
      <w:r>
        <w:t>https://mcp.opencaselaw.ch/entscheid/ge_gerichte_P_14987_2011</w:t>
      </w:r>
    </w:p>
    <w:p>
      <w:r>
        <w:t>FR: GE_GERICHTE P/14987/2011 du 15 avril 2013</w:t>
      </w:r>
    </w:p>
    <w:p>
      <w:r>
        <w:t>IT: GE_GERICHTE P/14987/2011 del 15 aprile 2013</w:t>
      </w:r>
    </w:p>
    <w:p>
      <w:pPr>
        <w:pStyle w:val="Heading2"/>
      </w:pPr>
      <w:r>
        <w:t>Regeste</w:t>
      </w:r>
    </w:p>
    <w:p>
      <w:r>
        <w:t>; FIXATION DE LA PEINE ; SURSIS À L'EXÉCUTION DE LA PEINE ; SURSIS PARTIEL À L'EXÉCUTION DE LA PEINE ; CONCOURS D'INFRACTIONS | CP.47; CP.42.1; CP.49; CP.43.1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2.1.2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Lorsque le juge est en présence de deux infractions dont l'une a été commise avant une précédente condamnation et l'autre après celle-ci, il faut d'abord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(arrêt du Tribunal fédéral 6B_28/2008 du 10 avril 2008 consid. 3.3.2 avec référence aux ATF 127 IV 106 consid. 2 p. 107 ; 116 IV 14 consid. 2b p. 17). Cela ne vaut toutefois que pour les sanctions du même genre et il est par conséquent exclu de prononcer une peine privative de liberté, à titre de peine complémentaire, à une sanction pécuniaire ordonnée précédemment (ATF 137 IV 57 consid. 4.3). 2.1.3 Sur le plan objectif, seules les peines de six mois à deux ans peuvent être assorties du sursis complet (cf. art. 42 al. 1 CP), alors que le sursis partiel peut être accordé aux peines allant de un an à trois ans en vertu de l'art. 43 al. 1 CP. Les conditions subjectives permettant l’octroi du sursis au sens de l’art. 42 CP s’appliquent également à l’octroi du sursis partiel (ATF 134 IV 1 consid. 5.3.1 p. 10). Il en va ainsi des perspectives d’amendement.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 arrêt du Tribunal fédéral 6B_717/2011 du 17 janvier 2012 consid. 2). Il en va de même des conditions posées à l’art. 42 al. 2 CP. L’octroi d’un sursis partiel est dès lors exclu si, durant les cinq ans qui précèdent l’infraction, l’auteur a été condamné à une peine privative de liberté ferme ou avec sursis de six mois au moins ou à une peine pécuniaire de cent quatre-vingts jours-amende au moins, sauf s’il justifie de circonstances particulièrement favorables (arrêt du Tribunal fédéral 6B_492/2008 du 19 mai 2009 consid. 3.1.2), c’est-à-dire de circonstances propres à renverser la présomption de pronostic négatif attachée à un tel antécédent.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1 consid. 4.2.2 p. 5s). Le pronostic doit être posé selon les mêmes critères que sous l'ancien droit. 2.1.4 Lorsque la fixation de la peine (résultant de l'appréciation de toutes les circonstances essentielles, dont l'effet de la sanction et de son exécution sur l'avenir de l'auteur) conduit au prononcé d'une peine privative de liberté – qui se situe dans les limites légales du sursis ou du sursis partiel – le juge doit se demander si en prononçant une sanction inférieure ou égale à cette limite, il demeure dans son pouvoir d'appréciation. Dans l'affirmative, il doit s'en tenir à cette quotité. Dans la négative, il peut prononcer une peine privative de liberté dépassant même légèrement la limite légale. Il n'est plus possible de relativiser la nouvelle limite légale par une interprétation de la loi. A cet égard, la pratique découlant de l'ATF 118 IV 337 consid. 2c p. 339-340 n'a plus sa place dans le nouveau droit. Dans tous les cas, le juge doit expressément motiver sa décision sur ce point (ATF 134 IV 17 consid. 3 p. 22 ss). 2.1.5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La durée doit être déterminée de manière à offrir la plus grande probabilité que le condamné ne récidivera pas (arrêt du Tribunal fédéral 6B_16/2009 du 14 avril 2009 consid. 2).</w:t>
      </w:r>
    </w:p>
    <w:p>
      <w:r>
        <w:rPr>
          <w:b/>
        </w:rPr>
        <w:t>E. 2.2</w:t>
      </w:r>
    </w:p>
    <w:p>
      <w:r>
        <w:t>En l'espèce, l'appelant ne peut se prévaloir d'aucune circonstance atténuante au sens de l'art. 48 CP et il y a concours d'infractions selon l'art. 49 al. 1 CP, ce qui justifie une augmentation de la peine de l’infraction la plus grave, soit celle du vol par métier dont la peine menace est une peine privative de liberté de dix ans au plus, dans une juste proportion. Les faits reprochés à l'appelant sont objectivement graves, puisqu'il a commis pas moins d'une vingtaine de cambriolages en à peine trois mois. Sa faute est lourde et ses mobiles sont égoïstes en tant qu'il n'a pas hésité à s'en prendre au patrimoine d'autrui, notamment des bijoux ayant une valeur sentimentale, par appât d'un gain facile. La répétition des actes commis, à intervalles très proches, dénote une forte intensité délictuelle, seule son arrestation ayant mis fin à ses activités coupables. A sa décharge, il convient de tenir compte de son jeune âge, de sa situation personnelle, instable et précaire, ainsi que de sa toxicomanie à l'époque des faits, même si cela ne justifie en rien les actes commis. Les premiers juges devaient prendre en considération que l'appelant commettait notamment des cambriolages en vue d'assouvir sa consommation de stupéfiants et sous l'emprise de telles substances. L'appelant projette de rentrer dans son pays, même si ses projets professionnels restent peu concrets et non documentés. Il semble toutefois bien intégré dans son groupe familial. Il a collaboré à l'enquête d'une manière significative, puisqu'il a reconnu les faits qui lui étaient reprochés et s'est spontanément dénoncé s'agissant d'affaires non élucidées. Il a exprimé des regrets envers ses victimes et sa satisfaction d'être libéré de ses addictions, ainsi que son souhait de changer de vie et de sortir de la délinquance. Il convient en outre de ne pas perdre de vue les effets dissuasifs et bénéfiques, notamment s'agissant de la prise de conscience de sa toxicomanie et de la portée de ses actes, de la détention que l'appelant a d'ores et déjà subie. Les condamnations datant de juillet et août 2011 pour infractions à la LEtr ne constituent pas des antécédents significatifs et les deux autres condamnations de septembre 2011 ne sauraient pleinement fonder un état de récidive postérieure, s'agissant de peines partiellement complémentaires. Par ailleurs, l'extrait du casier judiciaire italien figurant à la procédure fait foi et aucun antécédent étranger ne peut ainsi être retenu à son encontre, tout doute sur la nature exacte de son incarcération ne pouvant être écarté. Même s'il est prématuré de poser un pronostic d'avenir favorable, force est d'admettre qu'un pronostic clairement défavorable tel que requis par la jurisprudence ne saurait être retenu en l'état. Au vu de l'ensemble de ces éléments, il convient de condamner l'appelant à une peine privative de liberté de 36 mois, tout en fixant au maximum légal la partie ferme de la peine à exécuter, à savoir 18 mois, afin de tenir compte de la lourdeur de sa faute, et de prononcer un long délai d'épreuve pour le dissuader de récidiver.</w:t>
      </w:r>
    </w:p>
    <w:p>
      <w:r>
        <w:rPr>
          <w:b/>
        </w:rPr>
        <w:t>E. 3</w:t>
      </w:r>
    </w:p>
    <w:p>
      <w:r>
        <w:t>L'appelant ayant obtenu gain de cause pour l'essentiel, les frais de la procédure d’appel seront laissés à la charge de l’Etat (art. 428 CPP a contrario).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