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P/1494/2018 vom 16. März 2018</w:t>
      </w:r>
    </w:p>
    <w:p>
      <w:r>
        <w:t>GE Cour de justice, 2018-03-16, FR</w:t>
      </w:r>
    </w:p>
    <w:p>
      <w:r>
        <w:rPr>
          <w:b/>
        </w:rPr>
        <w:t xml:space="preserve">Quelle: </w:t>
      </w:r>
      <w:r>
        <w:t>https://mcp.opencaselaw.ch/entscheid/ge_gerichte_P_1494_2018</w:t>
      </w:r>
    </w:p>
    <w:p>
      <w:r>
        <w:t>FR: GE_GERICHTE P/1494/2018 du 16 mars 2018</w:t>
      </w:r>
    </w:p>
    <w:p>
      <w:r>
        <w:t>IT: GE_GERICHTE P/1494/2018 del 16 marzo 2018</w:t>
      </w:r>
    </w:p>
    <w:p>
      <w:pPr>
        <w:pStyle w:val="Heading2"/>
      </w:pPr>
      <w:r>
        <w:t>Regeste</w:t>
      </w:r>
    </w:p>
    <w:p>
      <w:r>
        <w:t>ORDONNANCE PÉNALE ; MENACE(EN GÉNÉRAL) ; INJURE | CPP.310;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ne remet pas en question la décision du Ministère public s'agissant des coups que lui aurait portés la mise en cause. La Chambre de céans ne reviendra dès lors pas sur cet aspect de la plainte.![endif]&gt;![if&gt;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réunies. 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des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 3.2.1 En l'espèce, la recourante allègue que la mise en cause l'aurait menacée et insultée mais n'a pas détaillé à la police les termes utilisés. Ce n'est qu'à l'occasion du recours qu'elle soutient que la mise en cause l'avait menacée de mort non pas en lui disant " tu es iranienne alors je vais te tuer ", mais " tu mourir, je te tuer ", et l'avait traitée " après cette nuit noire, le matin " de " pute iranienne ". La police a précisé ne pas avoir pu déterminer le soir de son intervention si des menaces de mort avaient été proférées comme le soutenait la recourante. On ne peut dès lors suivre cette dernière lorsqu'elle soutient que la mise en cause n'aurait pas nié ses menaces devant la police. En outre, sa colocataire conteste avoir proféré de telles menaces à quelque moment que ce soit et ne mentionne aucun témoin qui pourrait établir la réalité de celles-ci. C'est à bon droit que le Procureur a considéré que les éléments objectifs de l'infraction de menace n'étaient pas réunis. 3.2.2. Il ne reste dès lors à charge de C______ que des insultes, ce que cette dernière admet, lesquelles, aux dires de la recourante, seraient de l'avoir traitée de " pute iranienne ". Ces faits – eussent-ils constitué une infraction – ne sont pas suffisamment graves pour justifier l'ouverture d'une instruction pénale. L'éventuelle culpabilité de la mise en cause et les conséquences de cette éventuelle insulte peuvent ainsi être considérées comme de peu d'importance. C'est donc à bon droit que le Ministère public a fait application de l'art. 52 CP.</w:t>
      </w:r>
    </w:p>
    <w:p>
      <w:r>
        <w:rPr>
          <w:b/>
        </w:rPr>
        <w:t>E. 4</w:t>
      </w:r>
    </w:p>
    <w:p>
      <w:r>
        <w:t>Justifiée, l'ordonnance querellée sera donc confirmée.![endif]&gt;![if&gt;</w:t>
      </w:r>
    </w:p>
    <w:p>
      <w:r>
        <w:rPr>
          <w:b/>
        </w:rPr>
        <w:t>E. 5</w:t>
      </w:r>
    </w:p>
    <w:p>
      <w:r>
        <w:t>La recourante, qui succombe, supportera les frais envers l'État, fixé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