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P/14937/2015 vom 19. April 2016</w:t>
      </w:r>
    </w:p>
    <w:p>
      <w:r>
        <w:t>GE Cour de justice, 2016-04-19, FR</w:t>
      </w:r>
    </w:p>
    <w:p>
      <w:r>
        <w:rPr>
          <w:b/>
        </w:rPr>
        <w:t xml:space="preserve">Quelle: </w:t>
      </w:r>
      <w:r>
        <w:t>https://mcp.opencaselaw.ch/entscheid/ge_gerichte_P_14937_2015</w:t>
      </w:r>
    </w:p>
    <w:p>
      <w:r>
        <w:t>FR: GE_GERICHTE P/14937/2015 du 19 avril 2016</w:t>
      </w:r>
    </w:p>
    <w:p>
      <w:r>
        <w:t>IT: GE_GERICHTE P/14937/2015 del 19 aprile 2016</w:t>
      </w:r>
    </w:p>
    <w:p>
      <w:pPr>
        <w:pStyle w:val="Heading2"/>
      </w:pPr>
      <w:r>
        <w:t>Regeste</w:t>
      </w:r>
    </w:p>
    <w:p>
      <w:r>
        <w:t>DOMMAGES À LA PROPRIÉTÉ(DROIT PÉNAL); VOL(DROIT PÉNAL); PAR MÉTIER; IN DUBIO PRO REO; APPRÉCIATION DES PREUVES; TENTATIVE(DROIT PÉNAL); SURVEILLANCE TÉLÉPHONIQUE ; FLAGRANT DÉLIT ; CONCOURS D'INFRACTIONS; ANTÉCÉDENT; CRÉDIBILITÉ | CP.139.2; CP.144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2.2.1 . L'art. 139 ch. 1 CP punit d'une peine privative de liberté de cinq ans au plus ou d'une peine pécuniaire, celui qui, pour se procurer ou procurer à un tiers un enrichissement illégitime, aura soustrait une chose mobilière appartenant à autrui dans le but de se l'approprier. Si l'auteur fait métier du vol, il sera puni d'une peine privative de liberté de dix ans au plus ou d'une peine pécuniaire de 90 jours-amende au moins (art. 139 ch.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123 IV 113 consid. 2c p. 116 et les arrêts cités). L'ensemble des infractions commises dans ce contexte est de par la loi envisagé comme une unité sur le plan juridique, si bien que l'art. 49 CP n'est pas applicable en cas de vol par métier et la tentative est absorbée. 2.2.2.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2.3.1. En l'espèce, dans la nuit du 4 au 5 août 2015, l'appelant a été vu, pendant plusieurs heures, se déplacer avec une torche sur un parking et regarder à l'intérieur des voitures stationnées. Il a aussi été vu forcer la selle d'un scooter. Aucun élément du dossier ne permet de douter des observations de la police, dont le rapport a été confirmé de manière contradictoire par deux des gendarmes qui ont participé au dispositif de surveillance. A l'inverse, les explications de l'appelant, qui a beaucoup varié pour s'adapter aux éléments de l'enquête, ne sont pas crédibles. Il a d'abord nié s'être trouvé sur place au début de la période de surveillance, soutenant que la police aurait menti, puis a fourni des explications confuses pour justifier sa présence sur le parking et l'utilisation de la torche. Avec le premier juge, il sera retenu que l'appelant s'est bien rendu coupable d'une tentative de vol et de dommages à la propriété au préjudice de la partie plaignante E______, dont la selle du scooter a été endommagée. 2.3.2. La présence de l'appelant sur le parking, durant les plages horaires, pour la plupart relativement brèves, pendant lesquelles les vols au préjudice des voitures des plaignants C______, G______, I______, H______ et F______ ont été commis, est attestée par la téléphonie. Les transferts d'argent vers la Roumanie, durant la même période, constituent aussi un élément à charge, l'appelant n'ayant aucune source de revenu licite. Est particulièrement significatif le transfert de CHF 460.- le lendemain du vol dénoncé par la plaignante H______, qui a signalé la disparition de plusieurs centaines de francs. La thèse de la défense selon laquelle l'appelant aurait largement bénéficié de la générosité d'inconnus n'est ni étayée ni crédible ; les montants qu'il affirme avoir obtenus, de manière relativement constante, dépassent largement ce qui est habituel en matière de charité. Les antécédents récents et très spécifiques de l'appelant sont également significatifs, dans la mesure où ils établissement une pratique bien rodée. Le modus operandi est d'ailleurs toujours le même. Ces éléments permettent d'asseoir un verdict de culpabilité. Avec le premier juge, on relèvera que les dénégations de l'appelant, qui n'a eu de cesse de modifier son récit au cours de l'instruction, en particulier sur son emploi du temps après sa sortie de prison, n'emportent pas la conviction. Quant aux allégations selon lesquelles il aurait menti à la police parce qu'il avait été brutalisé, il sera simplement observé que l'appelant n'a pas fait de déclarations lors de son audition par les gendarmes et a réservé ses premières explications pour le Ministère public, en présence de son avocat. La thèse d'un complot policier ne trouve pas non plus d'assise dans le dossier. Le verdict de culpabilité sera ainsi entièrement confirmé, sauf s'agissant du cas D______. En effet, selon la plainte pénale, ce vol a eu lieu dans la nuit du 3 au 4 août 2015, peu après minuit, et non pas la nuit suivante (du 4 au 5 août 2015), lors de laquelle l'appelant a été observé et interpellé en flagrant délit. Le plaignant a certes pu se tromper d'un jour en remplissant sa plainte (qui est datée du 5 août 2015), mais le dossier ne permet pas de l'établir. Il n'y a pas non plus de donnée rétroactive qui atteste de la présence de l'appelant sur le parking cette nuit-là. Cette occurrence ne fait ainsi pas série avec le cas E______ et l'appelant sera dès lors acquitté, au bénéfice du doute. 2.3.3. Les actes commis sont constitutifs de six vols, dont un sous sa forme tentée, et de six dommages à la propriété. Avec le premier juge, il sera retenu que l'appelant, qui n'a jamais travaillé, s'est adonné, dès sa sortie de prison, à des vols dans des véhicules stationnés sur la voie publique. Il a agi à la manière d'une activité professionnelle générant des revenus réguliers que seule son arrestation a stoppée. La circonstance aggravante du métier est ainsi réalisée, laquelle absorbe la tentative (ATF 123 IV 113 consid. 2c et 2d). En tant qu'il retient la tentative de vol, en sus du vol par métier, le dispositif du jugement de première instance sera ainsi rectifié.</w:t>
      </w:r>
    </w:p>
    <w:p>
      <w:r>
        <w:rPr>
          <w:b/>
        </w:rPr>
        <w:t>E. 3</w:t>
      </w:r>
    </w:p>
    <w:p>
      <w:r>
        <w:t>.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3.2</w:t>
      </w:r>
    </w:p>
    <w:p>
      <w:r>
        <w:t>L'appelant ne conteste pas en tant que telle la peine qui lui a été infligée, dont il ne requiert la réduction que dans l'hypothèse d'un acquittement partiel. L'appréciation du premier juge des éléments pertinents pour la fixation de la peine (faute, antécédents, situation personnelle, prise de conscience, collaboration, etc.) est complète et il y sera renvoyé (cf. art. 82 al. 4 CPP et consid. 3.2 du jugement entrepris). Compte tenu de l'acquittement prononcé pour l'une des infractions, la peine privative de liberté sera fixée à neuf mois, étant rappelé que lorsque le vol par métier est retenu, comme en l'espèce, l'ensemble des infractions commises représente une unité. Vu la récidive spécifique, c'est à juste titre que le premier juge n'a pas mis l'appelant au bénéfice du sursis, le pronostic étant clairement défavorable, ce qui n'est pas remis en cause.</w:t>
      </w:r>
    </w:p>
    <w:p>
      <w:r>
        <w:rPr>
          <w:b/>
        </w:rPr>
        <w:t>E. 4</w:t>
      </w:r>
    </w:p>
    <w:p>
      <w:r>
        <w:t>L'appelant, qui succombe pour l'essentiel, supportera les 4/5 des frais de la procédure d'appel, qui comprennent dans leur totalité un émolument de CHF 2'500.- (art. 428 CPP).</w:t>
      </w:r>
    </w:p>
    <w:p>
      <w:r>
        <w:rPr>
          <w:b/>
        </w:rPr>
        <w:t>E. 5</w:t>
      </w:r>
    </w:p>
    <w:p>
      <w:r>
        <w:t>5.1.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(let. c) pour un chef d'étude, débours de l'étude inclus. En cas d'assujettissement, l'équivalent de la TVA est versé en sus.</w:t>
      </w:r>
    </w:p>
    <w:p>
      <w:r>
        <w:rPr>
          <w:b/>
        </w:rPr>
        <w:t>E. 5.2</w:t>
      </w:r>
    </w:p>
    <w:p>
      <w:r>
        <w:t>En l'occurrence, l'indemnisation requise par le défenseur d'office de l'appelant paraît adéquate, de sorte qu'il n'est pas nécessaire de reprendre le détail des postes qui composent son état de frais. Aussi, l'indemnité requise correspondant à sept heures d'activité de chef d'étude au tarif de CHF 200.-/heure sera allouée (CHF 1'400.-), à laquelle s'ajoutent la durée d'une heure de l'audience d'appel (CHF 200.-), la majoration forfaitaire de 20% (CHF 320.-), l'indemnisation du déplacement à l'audience par CHF 50.- et l'équivalent de la TVA au taux de 8% en CHF 158.-, pour un total de CHF 2'128.-.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