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P/14924/2016 vom 7. März 2018</w:t>
      </w:r>
    </w:p>
    <w:p>
      <w:r>
        <w:t>GE Cour de justice, 2018-03-07, FR</w:t>
      </w:r>
    </w:p>
    <w:p>
      <w:r>
        <w:rPr>
          <w:b/>
        </w:rPr>
        <w:t xml:space="preserve">Quelle: </w:t>
      </w:r>
      <w:r>
        <w:t>https://mcp.opencaselaw.ch/entscheid/ge_gerichte_P_14924_2016</w:t>
      </w:r>
    </w:p>
    <w:p>
      <w:r>
        <w:t>FR: GE_GERICHTE P/14924/2016 du 7 mars 2018</w:t>
      </w:r>
    </w:p>
    <w:p>
      <w:r>
        <w:t>IT: GE_GERICHTE P/14924/2016 del 7 marzo 2018</w:t>
      </w:r>
    </w:p>
    <w:p>
      <w:pPr>
        <w:pStyle w:val="Heading2"/>
      </w:pPr>
      <w:r>
        <w:t>Regeste</w:t>
      </w:r>
    </w:p>
    <w:p>
      <w:r>
        <w:t>MENACE(DROIT PÉNAL) ; INJURE ; RÉSILIATION ; CERTIFICAT DE TRAVAIL ; E-MAIL ; RÉSEAU SOCIAL ; OBTENTION FRAUDULEUSE D'UNE PRESTATION ; INFRACTION D'IMPORTANCE MINEURE | CP.180; CP.177; CP.146; CP.150; CP.172ter</w:t>
      </w:r>
    </w:p>
    <w:p>
      <w:pPr>
        <w:pStyle w:val="Heading2"/>
      </w:pPr>
      <w:r>
        <w:t>Erwägungen</w:t>
      </w:r>
    </w:p>
    <w:p>
      <w:r>
        <w:rPr>
          <w:b/>
        </w:rPr>
        <w:t>E. 1.1</w:t>
      </w:r>
    </w:p>
    <w:p>
      <w:r>
        <w:t>L'appel et l'appel joint sont recevables pour avoir été interjetés et motivés selon la forme et dans les délais prescrits (art. 398, 399 et 401 CPP). La Chambre limite son examen aux violations décrites dans l'acte d'appel (art. 404 al. 1 CPP), sauf en cas de décisions illégales ou inéquitables (art. 404 al. 2 CPP).</w:t>
      </w:r>
    </w:p>
    <w:p>
      <w:r>
        <w:rPr>
          <w:b/>
        </w:rPr>
        <w:t>E. 1.2</w:t>
      </w:r>
    </w:p>
    <w:p>
      <w:r>
        <w:t>En appel, seules les condamnations de l'appelant pour les infractions aux art. 90 al. 1 et 97 al. 1 let. b LCR ne sont pas remises en cause.</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124 IV 86 consid. 2a p. 87 s.).</w:t>
      </w:r>
    </w:p>
    <w:p>
      <w:r>
        <w:rPr>
          <w:b/>
        </w:rPr>
        <w:t>E. 3</w:t>
      </w:r>
    </w:p>
    <w:p>
      <w:r>
        <w:t>3.1.1.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Le contexte dans lequel des propos sont émis est un élément permettant d'en apprécier le caractère menaçant ou non (cf. arrêts du Tribunal fédéral 6B_593/2016 du 27 avril 2017 consid. 3.1.3 et 6B_307/2013 du 13 juin 2013 consid. 5.2). L'infraction est intentionnelle, le dol éventuel étant suffisant (arrêts du Tribunal fédéral 6B_578/2016 du 19 août 2016 consid. 2.1 ; 6B_871/2014 du 24 août 2015 consid. 2.2.2 ; 6B_820/2011 du 5 mars 2012 consid. 3). 3.1.2.1. En l'espèce, la CPAR tient pour établi qu'en date du 1 er juillet 2016, après un mois de travail, le prévenu a été licencié par l'intermédiaire de deux collaborateurs d'une ______ [D_____] de la place. Au cours de cet entretien, il a dit à N______ " je ne vous en veux pas à vous ", puis s'est tourné vers l'intimé C______ et lui a dit " il faut savoir que la roue tourne, ça se passera en dehors de ______ [D______] ". Dès le lendemain, il a envoyé divers emails à l'intimé au contenu pour le moins injurieux "(...) sans couille comme toi mec (...)" et rabaissant, en évoquant une incarcération dans une même cellule où l'intimé serait " sa péripatéticienne " à son entière merci. Il y sollicitait aussi une rencontre pour une discussion "seul à seul ". C'est dans ce contexte que l'appelant a envoyé, le 4 juillet 2016, l'email, fixant un rendez-vous à l'intimé à 18h00 pour s'expliquer, tout en lui " garanti [ssant] que je vais faire plus que te regarder dans les yeux!!!! ". Cette dernière phrase, vu ce qui précède, ne pouvait être comprise autrement par l'intimé, de même que toute autre personne raisonnable placée dans la même situation, que comme une annonce explicite de s'en prendre physiquement à lui, autrement dit une menace grave pour son intégrité corporelle. L'intimé a expliqué de manière convaincante avoir effectivement craint pour son intégrité physique, de même que celle de sa compagne. Sur le " qui-vive " durant les semaines suivantes, il s'est fait accompagner à sa voiture par un collègue et a averti ses voisins de la situation dans le but de protéger sa compagne. C'est dire que les menaces ont atteint le seuil de gravité requis pour une application de l'art. 180 CP. C'est vainement que l'appelant prétend avoir uniquement eu l'intention de discuter avec l'intimé C______, sans aucune velléité d'en découdre physiquement. Il a néanmoins admis en cours de procédure que le contenu de son message pouvait être perçu comme belliqueux vis-à-vis de la personne qui venait de le licencier. Dans ces conditions, il échoue à prétendre le contraire en appel, preuve en serait qu'il avait parlé dudit mail à la responsable des ressources humaines. Plus, il semble que le registre des menaces ne lui soit pas inconnu dans la mesure où il a déjà été condamné du chef de cette infraction par le passé. Au vu de ces circonstances, ayant agi à tout le moins par dol éventuel, l'appelant s'est bien rendu coupable de menaces s'agissant de ce mail du 4 juillet 2016, au sens de l'art. 180 CP de sorte que le jugement de première instance sera confirmé sur ce point. 3.1.2.2. En revanche, s'agissant des propos tenus le 1 er juillet 2016 ainsi que des mails des 2 et 3 juillet 2016, la CPAR, à l'instar du premier juge, considère qu'ils ne contiennent pas de menace grave au sens de l'art. 180 CP. En effet, l'énoncé d'un potentiel rendez-vous " seul à seul ", même annoncé après un licenciement, ne signifie pas encore forcément que l'appelant compte en venir aux mains. L'indication que " la roue tourne ", dans un tel contexte, peut signifier qu'un jour l'auteur du licenciement pourrait lui aussi un jour subir le même sort. Quant au fait de se retrouver dans une même cellule en prison et d'y être à la merci de l'appelant comme des autres prisonniers, il s'agit in casu d'une hypothèse hautement invraisemblable dans laquelle l'intimé ne peut avoir pensé raisonnablement se retrouver un jour. Ainsi ces propos, bien que totalement inadéquats et désagréables, ne constituent pas des menaces objectivement de nature à alarmer ou effrayer une personne de sorte que l'acquittement de l'appelant sera confirmé les concernant et l'appel joint du MP rejeté. 3.2.1.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D'après la jurisprudence, le terme " salope " revêt bien le caractère attentatoire à l'honneur, remplissant les conditions d'une telle atteinte, et est partant un terme injurieux (arrêt du Tribunal fédéral 6B_87/2013 du 13 mai 2013 consid. 4.3 et notamment AARP/146/2017 du 27 avril 2017 ; AARP/79/2017 du 8 mars 2017 ; AARP/218/2013 du 14 mai 2013). 3.2.2. En l'espèce, toujours dans le contexte du licenciement susmentionné, l'intimée D______ a reçu en juillet 2016, des messages via Q______ [RÉSEAU SOCIAL] du plaignant, ce qu'il a reconnu, au contenu assurément injurieux, voire menaçant (" fille de pute" " Sale grosse va ", " Si tu savais d où je viens et qui je suis t aurais jms fait ça! "). Ces faits n'ont toutefois pu être poursuivis faute d'un dépôt de plainte pénale dans le délai légal. Après que l'intimée D______ ait " bloqué " l'appelant sur Q______ [RÉSEAU SOCIAL], elle prétend qu'il est l'auteur de textes postés dans la nuit du 15 au 16 octobre 2016 à son attention, via I______, aux termes desquels il lui demande si " Ça va salope? ", "(...) sache que je vous pisse au cul à toi et tes 2 copines, vous êtes des sales sorcières mal baisées qui avez la haine parce que vous êtes des grosses dont personne ne veut à part des gars chomes qui pigent kedal " et " Vas y restez dans votre ______ [D______] de fils de pute qui pue la merde avec votre vieux salaire ". L'appelant conteste être l'auteur de cette seconde vague de messages. L'assertion, au demeurant non étayée, que son compte I______ aurait été piraté, ne convainc pas, pas plus que le fait qu'il aurait ignoré avoir été bloqué sur Q______ [RÉSEAU SOCIAL] par la plaignante, ce qu'il soutient semble-t-il pour la première fois en appel. Le contenu des textes fait en effet explicitement référence à la "______" [D______] et reprend des termes déjà utilisés en juillet 2016 tels que " sale grosse " ou " des personnes grosses dont personne ne veut " en sus d'un vocabulaire fleuri apparemment coutumier à l'appelant. Nul doute qu'il est l'auteur également de ces textes qu'il n'a pu envoyer via Q______ [RÉSEAU SOCIAL] dans la mesure où l'intimée D______ l'a " bloqué " en juillet 2016, assertion qu'il n'y a pas lieu de remettre en cause et réaction des plus logique à la réception des premiers messages. Le terme " salope " utilisé dans ce contexte revêt manifestement le caractère injurieux sanctionné par l'art. 177 CP. Le jugement du Tribunal de police sera ainsi également confirmé sur ce point. 3.3.1. L'art. 146 al. 1 CP réprime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Sous l'angle de la notion d'astuce, respectivement de la coresponsabilité de la dupe, celui qui, dans le cadre d'une vente conclue sur internet, livre contre facture un produit d'une importante valeur marchande à un inconnu, dans le cas d'espèce il s'agissait d'une imprimante à haute performance pour un prix de CHF 2'200.-, ce qui ne constitue pas une opération courante, sans examiner, au moins de manière sommaire, la solvabilité de celui-ci omet de prendre les précautions les plus élémentaires et agit avec légèreté (ATF 142 IV 153 consid. 2.2.4). 3.3.2. D'après l'art. 150 1 ère hypothèse CP, est punissable sur plainte celui qui, sans bourse délier, aura frauduleusement obtenu une prestation qu'il savait ne devoir être fournie que contre paiement. 3.3.3. Selon l'art. 172 ter al. 1 CP, applicable aux infractions du titre 2 de la partie spéciale du code pénal (infractions contre le patrimoine ; art. 137 à 172 ter CP), si l'acte ne visait qu'un élément patrimonial de faible valeur ou un dommage de moindre importance, l'auteur sera, sur plainte, puni d'une amende. Il est admis, selon la jurisprudence, qu'un élément patrimonial est de faible valeur s'il ne vaut pas plus que CHF 300.- (ATF 142 IV 129 consid. 3.1.). Si l'auteur commet plusieurs actes portant chaque fois sur une valeur inférieure à CHF 300.-, il faut prendre en considération, pour autant que les actes remplissent les conditions de l'unité juridique et de l'unité naturelle d'action, le total de ces valeurs (ATF 131 IV 83 consid. 2.4.5 p. 93ss).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 Dans l'arrêt TF 6S.397/2005 du 13 novembre 2005, le Tribunal fédéral a nié l'unité d'actions, au motif que les actes étaient séparés et ponctuels, se déroulant à des moments différents durant plusieurs années (TF 6S.397/2005 du 13 novembre 2005 consid. 2.3.2.). 3.4.1. En l'espèce, l'appelant a admis avoir publié une annonce sur "______.ch" au début de l'année 2017, prétendant en appel qu'il y en aurait eu au moins deux, prétextant vendre un smartphone , et avoir reçu sur son compte bancaire sa contrepartie sans, ab initio , avoir l'intention d'envoyer aux acheteurs l'article promis. Selon ce modus , les dupes n'imaginaient pas qu'elles n'allaient pas recevoir l'objet convoité après avoir fait le paiement, pratique courante dans ce genre d'échange via internet. On ne pouvait raisonnablement leur demander d'autre vérification avant de régler les montants de CHF 200.- à CHF 280.-. L'appelant avait par son mode de faire, la publication d'une annonce sur internet, l'intention de léser un nombre indéterminé de personnes, à l'instar du voleur qui dérobe un portemonnaie escompte qu'il n'y trouvera pas seulement CHF 5.-, ce qui exclut l'application de l'art. 172ter CP. Cette annonce suffit en effet à former l'unité d'actions telle que prévue par la jurisprudence. Par une seule annonce, l'appelant a d'ailleurs hameçonné les plaignants F______ et G______, le 25 janvier 2017, lesquels ont tous deux le lendemain effectué les versements de respectivement CHF 209.- et CHF 280.-. L'appelant était ainsi prêt à agir à chaque fois que quelqu'un lui présentait une offre, ce qui a effectivement amené deux d'entre elles à lui verser plus de CHF 400.- en une seule journée. Il n'est pas déterminant à cet égard que tous les lésés aient résidé en des communes du canton de Vaud, l'unité d'action tendant bien plus au lieu où l'appelant a agi, à savoir à partir de son ordinateur, escomptant à l'évidence, vu le moyen de diffusion utilisé, que son action porte au-delà du canton et touche le maximum de dupes. Ce même raisonnement s'applique pour l'annonce du 11 janvier 2017 à laquelle F______ a expliqué avoir répondu avant d'effectuer le versement de CHF 280.- le lendemain. Par conséquent, l'appel sera rejeté sur ce point. 3.4.2. L'appelant, dont la plaque d'immatriculation a systématiquement été filmée par la propriétaire du parking situé à la rue ______ (GE), a reconnu avoir quitté ces lieux à quatre reprises sur une période de 20 jours en novembre 2016 sans s'acquitter des montants dus. Quand bien même une unité d'action devait être retenue, ce qui est douteux en l'espèce, plusieurs jours séparant chacune des infractions, la plaignante n'a pas chiffré son préjudice, ni par sortie, ni globalement. Elle a consenti au versement de CHF 200.- en réparation de son dommage, seul élément tangible à la procédure. Dans ces conditions, l'art. 172 ter CP s'applique bien au cas d'espèce de sorte que la condamnation de l'appelant pour l'infraction à l'art. 150 cum 172 ter CP sera confirmée.</w:t>
      </w:r>
    </w:p>
    <w:p>
      <w:r>
        <w:rPr>
          <w:b/>
        </w:rPr>
        <w:t>E. 4</w:t>
      </w:r>
    </w:p>
    <w:p>
      <w:r>
        <w:t>4.1.1. Les nouvelles dispositions sur le droit des sanctions sont entrées en vigueur le 1 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4.1.2. Dans le nouveau droit en vigueur, le travail d'intérêt général ne représente plus une peine pouvant être prononcée par les tribunaux mais une modalité d'exécution pour certaines peines (art. 79 a CP). Partant, l'ancien droit est plus favorable et sera appliqué in casu .</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4.3.1. A la place d'une peine privative de liberté de moins de six mois ou d'une peine pécuniaire de 180 jours-amende au plus, le juge peut ordonner, avec l'accord de l'auteur, un travail d'intérêt général de 720 heures au plus (art. 37 al. 1 aCP). 4.3.2. Avec l'accord de l'auteur, le juge peut ordonner, à la place de l'amende, un travail d'intérêt général d'une durée de 360 heures au plus (art. 107 al. 1 aCP). 4.4.1. A teneur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4.4.2.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4.5</w:t>
      </w:r>
    </w:p>
    <w:p>
      <w:r>
        <w:t>Les délits de menaces et de non-restitution de permis ou de plaques sont passibles d'une peine privative de liberté de trois ans au plus ou d'une peine pécuniaire, celui de l'injure d'une peine pécuniaire de 90 jours-amende au plus et celui d'escroquerie d'une peine privative de liberté de cinq ans au plus ou d'une peine pécuniaire. L'obtention frauduleuse d'importance mineure, ainsi que la violation simple des règles de la circulation routière, constituant des contraventions, sont passibles de l'amende.</w:t>
      </w:r>
    </w:p>
    <w:p>
      <w:r>
        <w:rPr>
          <w:b/>
        </w:rPr>
        <w:t>E. 4.6</w:t>
      </w:r>
    </w:p>
    <w:p>
      <w:r>
        <w:t>En l'espèce, la faute de l'appelant n'est pas négligeable. Il s'en est pris à la liberté et à l'honneur de ses anciens collègues. L'intimé C______ a vécu avec la peur de le voir surgir, à son travail ou à son domicile, pour s'en prendre à sa personne, ou à ses proches. Il a également manqué de prudence, en percutant une voiture. Il a agi par pur mobile égoïste, à savoir pour un appât de gain facile, en postant une annonce sur Internet, dans le but de vendre un smartphone , sans en avoir eu l'intention, et en quittant, à plusieurs reprises, un parking sans s'acquitter du montant dû. La collaboration de l'appelant est tout au plus moyenne. Il a certes admis les infractions de non-restitution de permis ou de plaques et d'obtention frauduleuse d'une prestation, puis finalement l'infraction d'escroquerie, toutefois limitée à un degré contraventionnel, mais pouvait difficilement faire autrement au vu des éléments du dossier qui auraient rendu laborieuse toute dénégation de sa part. Pour le reste, soit les menaces proférées à l'encontre de l'intimé C______, les injures adressées à l'intimée D______, ainsi que la violation simple des règles de la circulation routière, l'appelant persiste à contester les faits. Dans ces conditions, sa prise de conscience est à relativiser, quand bien même il a indiqué, à l'audience de jugement, regretter ses actes envers l'intimé C______ et s'engager à rembourser les dupes escroquées, ainsi que la Ville de Genève. Il y a concours d'infractions, facteur aggravant justifiant l'augmentation de la peine dans une juste proportion, entre les différents délits commis, soit les infractions de menaces, d'injure, de non-restitution de permis ou de plaques et d'escroquerie. Les infractions contraventionnelles entrent également en concours. L'appelant n'a tiré aucune leçon de ses deux précédentes condamnations, la première pourtant sanctionnée par une peine privative de liberté de 16 mois et la seconde par une peine pécuniaire de 180 jours-amende, à CHF 200.- l'unité, ainsi qu'à une amende de CHF 200.-, convertie en un travail d'intérêt général. La première de ces peines commande des circonstances particulièrement favorables pour prétendre à l'octroi du sursis (art. 42 al. 2 CP), lesquelles n'existent pas en l'espèce. L'appelant se trouve en effet dans une situation personnelle difficile, soit sans revenu, à quoi s'ajoutent ses mauvais antécédents, la répétition d'infractions touchant de multiples biens juridiques durant huit mois et une faible prise de conscience. Les conditions du sursis ne sont ainsi pas réalisées et seule une peine ferme est à même d'atteindre le but de prévention spéciale. L'appelant a donné son accord pour un travail d'intérêt général. Les quotités de 360 heures (pour les délits) et de 20 heures pour les contraventions en lieu et place d'une amende, telles que prononcées par le premier juge, sanctionnent correctement son comportement et tiennent adéquatement compte de sa situation personnelle de sorte qu'elles seront confirmées. L'appel joint du MP sera en conséquence rejeté.</w:t>
      </w:r>
    </w:p>
    <w:p>
      <w:r>
        <w:rPr>
          <w:b/>
        </w:rPr>
        <w:t>E. 5.1</w:t>
      </w:r>
    </w:p>
    <w:p>
      <w:r>
        <w:t>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Selon l'al. 3, si l'autorité de recours rend elle-même une nouvelle décision, elle se prononce également sur les frais fixés par l'autorité inférieure (arrêt du Tribunal fédéral 6B_136/2016 du 23 janvier 2017 consid. 4.1.2).</w:t>
      </w:r>
    </w:p>
    <w:p>
      <w:r>
        <w:rPr>
          <w:b/>
        </w:rPr>
        <w:t>E. 5.2</w:t>
      </w:r>
    </w:p>
    <w:p>
      <w:r>
        <w:t>L'appelant et l'appelant joint succombent. Le premier supportera les 3/4 des frais de la procédure d'appel envers l'État, comprenant un émolument de CHF 2'500.-. Le solde sera laissé à charge de l'État vu la qualité de l'appelant joint (art. 428 CP et art. 14 al. 1 let. e du règlement fixant le tarif des frais en matière pénale du 22 décembre 2010 [RTFMP - RS/GE E 4 10.03]). Dans la mesure où tant la culpabilité que la peine sont confirmées, les frais de première instance seront laissés intégralement à charge de l'appelant, y compris l'émolument de jugement complémentaire.</w:t>
      </w:r>
    </w:p>
    <w:p>
      <w:r>
        <w:rPr>
          <w:b/>
        </w:rPr>
        <w:t>E. 6</w:t>
      </w:r>
    </w:p>
    <w:p>
      <w:r>
        <w:t>. 6.1.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6.2.1.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 AARP/184/2016 du 28 avril 2016 consid. 5.3.1 et AARP/158/2016 du 22 avril 2016 consid. 6.3 [lecture du jugement admise]).</w:t>
      </w:r>
    </w:p>
    <w:p>
      <w:r>
        <w:rPr>
          <w:b/>
        </w:rPr>
        <w:t>E. 6.3</w:t>
      </w:r>
    </w:p>
    <w:p>
      <w:r>
        <w:t>En application de ces principes, il convient de retrancher de l'état de frais de M e B______ : -       90 minutes, correspondant au poste "Examen du jugement", activité couverte par le forfait et consistant en l'état à la prise de connaissance d'un jugement tenant sur 15 pages, y compris celles de garde, de taxation et indiquant les voies de recours, traitant d'un complexe de faits dénué de toute difficulté et censé être bien connu du conseil pour l'avoir plaidé en première instance ; -       30 minutes du poste "Déclaration d'appel", acte qui n'a pas à être motivé et entre dans le forfait pour activités diverses.</w:t>
      </w:r>
    </w:p>
    <w:p>
      <w:r>
        <w:rPr>
          <w:b/>
        </w:rPr>
        <w:t>E. 6.4</w:t>
      </w:r>
    </w:p>
    <w:p>
      <w:r>
        <w:t>En conclusion, l'indemnité sera arrêtée à CHF 1'405.50 correspondant à 7h15 d'activité au tarif de CHF 150.-/heure (CHF 1'087.50) plus la majoration forfaitaire de 20% (CHF 217.50) et l'équivalent de la TVA au taux de 7.7% (CHF 100.50).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