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P/14909/2011 vom 30. Oktober 2013</w:t>
      </w:r>
    </w:p>
    <w:p>
      <w:r>
        <w:t>GE Cour de justice, 2013-10-30, FR</w:t>
      </w:r>
    </w:p>
    <w:p>
      <w:r>
        <w:rPr>
          <w:b/>
        </w:rPr>
        <w:t xml:space="preserve">Quelle: </w:t>
      </w:r>
      <w:r>
        <w:t>https://mcp.opencaselaw.ch/entscheid/ge_gerichte_P_14909_2011</w:t>
      </w:r>
    </w:p>
    <w:p>
      <w:r>
        <w:t>FR: GE_GERICHTE P/14909/2011 du 30 octobre 2013</w:t>
      </w:r>
    </w:p>
    <w:p>
      <w:r>
        <w:t>IT: GE_GERICHTE P/14909/2011 del 30 ottobre 2013</w:t>
      </w:r>
    </w:p>
    <w:p>
      <w:pPr>
        <w:pStyle w:val="Heading2"/>
      </w:pPr>
      <w:r>
        <w:t>Regeste</w:t>
      </w:r>
    </w:p>
    <w:p>
      <w:r>
        <w:t>IN DUBIO PRO REO; FIXATION DE LA PEINE; SURSIS À L'EXÉCUTION DE LA PEINE; RÉVOCATION(EN GÉNÉRAL); AUDITION OU INTERROGATOIRE; DÉROULEMENT DE LA PROCÉDURE; GARANTIE DE PROCÉDURE; DROIT D'ÊTRE ENTENDU; ACTE D'ACCUSATION; PRINCIPE DE LA CÉLÉRITÉ | CPP.10.3; CPP.158; CPP.158.2; CPP.325; CP.47; CPP.5.1; Cst.29.1; Cst.29.2; CP.46.1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L'art. 158 CPP rassemble deux droits de la défense, à savoir l'information sur les droits et celle sur les charges (A. KUHN / Y. JEANNERET (éds), Commentaire romand : Code de procédure pénale suisse , Bâle 2011, n. 1 ad art. 158). L'information doit être fournie au début de l'audition, soit avant que ne soient posées des questions sur les infractions reprochées (A. KUHN / Y. JEANNERET (éds), op. cit., n. 8 ad art. 258). Selon le message du Conseil fédéral relatif à l'unification du CPP du 21 décembre 2005, il convient d'exposer au prévenu d'une manière aussi complète que possible les infractions qui lui sont reprochées. Il ne suffit pas, par exemple, de l'accuser "globalement" de trafic de stupéfiants, voire d'infraction à la LStup. L'autorité doit bien plutôt rappeler au prévenu des faits précis qui constituent une telle infraction, sans toutefois porter, à ce stade, une appréciation juridique précise (FF 2006 1057 not. 1172-73). Le caractère dynamique de l'information a pour effet qu'en cas de modification des faits reprochés ou de reproches concernant de nouveaux complexes de fait ( ) , la notification des charges doit impérativement être renouvelée après la première audition et jusqu'à la mise en accusation, ce par la direction de la procédure (A. KUHN / Y. JEANNERET (éds), op. cit., n. 16 ad art. 158). La question est laissée ouverte de savoir s'il convient de renouveler l'information fournie au prévenu ou de la compléter au cours de la procédure dans d'autres hypothèses (A. KUHN / Y. JEANNERET (éds), op. cit., n. 5 ad art. 158). L'art. 158 al. 2 CPP règle les conséquences du défaut d'information, en ce sens que les preuves obtenues ne sont pas exploitables. La situation découlant d'un éventuel défaut d'information sur les charges est cependant jugée différemment d'un défaut d'information sur les droits, au regard de sa plus grande complexité. Vu la marge de manœuvre des autorités, une absence d'information sur les charges ne sera admise qu'en cas d'insuffisance très marquée de renseignements sur les éléments factuels et sur la qualification juridique des infractions reprochées (A. KUHN / Y. JEANNERET (éds), op. cit., n. 28 ad art. 158). 2.2.2 Selon l'art. 325 al. 1 CPP, l'acte d'accusation désigne notamment le plus brièvement possible, mais avec précision, les actes reprochés au prévenu, le lieu, la date et l'heure de leur commission, leurs conséquences et le mode de procéder de l'auteur, les infractions réalisées et les dispositions légales applicables. L'art. 9 al. 1 CPP, au nom de la maxime d'accusation,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 3 p. 445;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w:t>
      </w:r>
    </w:p>
    <w:p>
      <w:r>
        <w:rPr>
          <w:b/>
        </w:rPr>
        <w:t>E. 2.3</w:t>
      </w:r>
    </w:p>
    <w:p>
      <w:r>
        <w:t>La partie appelante se plaint de ne pas avoir eu connaissance de l'entier des charges retenues à son encontre. Ce serait par le seul biais du réquisitoire du Ministère public en audience de jugement qu'elle aurait appris le détail des charges la concernant. La mise en prévention initiale de l'appelant a respecté ses droits conventionnels et constitutionnels. Elle ne pouvait guère être plus détaillée, l'enquête ne faisant que commencer. Les charges reposaient sur les seules observations policières, le résultat des saisies de drogue opérées dans les bois et les déclarations de B_______ reconnaissant son implication dans un trafic portant sur deux kilos d'héroïne. L'instruction qui a suivi s'est principalement articulée autour des éléments techniques découlant de la téléphonie, ce qui s'explique par le mutisme affiché par l'appelant et le condamné C______, lequel avait clairement fait savoir au Procureur que le silence était la règle d'or dans le milieu des trafiquants albanais. Il n'empêche que de très nombreuses audiences ont été tenues entre fin février et début juillet 2012, au cours desquelles les parties, dont l'appelant, ont été confrontées au contenu des rétroactifs des contrôles téléphoniques. La partie appelante y a certes été très discrète, puisqu'elle n'a pris la parole qu'au cours de la quatrième audience. Il n'empêche qu'elle était présente quand ont été évoqués les trois caches d'héroïne dans les bois (audience du 23 février 2012 p. 3 et 4, audience du 5 juillet 2012 p. 7), l'usage de mots codés pour désigner la marchandise et sa contrevaleur en argent (audience du 23 février 2012 p. 4), les "affaires" i.e le trafic de drogue dont ils parlaient (idem p. 6), le plan de vente "SECURITAS" (audience du 1 er mars 2012 p. 2 et 3), la volte-face du condamné C______ sur la vente d'héroïne à des trafiquants par l'intermédiaire d'"ouvriers" (audience du 8 mars 2012 p. 4), les atermoiements du même C______ sur la réalité de transactions portant sur une quantité de 50 g d'héroïne (audience des 8 mars p. 5 et 15 mars 2012 p. 3), le déroulement chronologique de la soirée du 13 octobre 2011 telle qu'observée par la police, avec la présence avérée de B______ dans la région de Plan-les-Ouates (audience du 15 mars 2012 p. 7 et 8), etc. Il est donc faux de prétendre que l'appelant ne connaissait pas jusqu'à l'audience de jugement la nature des charges pesant sur lui. Il avait accès au dossier et avait ainsi pu prendre connaissance de l'acte d'accusation le concernant mais aussi de celui préparé par le Ministère public pour le condamné C______ où sont mentionnées des ventes à des trafiquants et non seulement à des toxicomanes, ce qui le désignait indirectement. Compte tenu des nombreux contacts téléphoniques avec C______, l'appelant pouvait aisément se reconnaître dans la catégorie des destinataires occasionnels du trafic ainsi définie. Tout au plus peut-on regretter que les charges n'aient pas fait l'objet d'une synthèse de la part du Ministère public, sans que cette absence ne prête à conséquence, puisqu'il n'y a pas eu de nouvelles charges ou une orientation de l'enquête dans une autre direction que celle définie initialement. C'est sans compter que la doctrine est réservée quant à l'impérieuse nécessité de renouveler l'information relative aux charges pesant sur un prévenu, lesquelles n'ont au demeurant pas été occultées puisqu'elles découlent de l'avancement de l'instruction. En tout état, l'appelant ne l'a pas revendiqué au cours de l'instruction et ne saurait s'en plaindre à ce jour, ce d'autant moins que l'acte d'accusation n'a fait que reprendre des éléments factuels figurant dans la procédure à laquelle l'appelant avait libre accès. Au vu de ce qui précède, il est acquis que la partie appelante a pu connaître l'entier des charges retenues à son encontre, nonobstant le déficit initial d'informations.</w:t>
      </w:r>
    </w:p>
    <w:p>
      <w:r>
        <w:rPr>
          <w:b/>
        </w:rPr>
        <w:t>E. 2.4</w:t>
      </w:r>
    </w:p>
    <w:p>
      <w:r>
        <w:t>C'est à tort que l'appelant se prévaut de l'application du principe in dubio pro reo dans le cas d'espèce. A titre liminaire, il convient de préciser les éléments conduisant à rattacher la partie appelante aux trois téléphones portables saisis dans son appartement. L'appelant ne conteste pas avoir été l'utilisateur exclusif du raccordement no 3______ dont la carte SIM, ainsi que la téléphonie l'a montré, a été introduite dans son appareil le 20 octobre 2011 à 16h41. La carte SIM relative au raccordement 2______ a été découverte dans l'appartement de l'appelant. Le rattachement à la personne de l'appelant tient au fait que jusqu'au 20 octobre à 16h38, cette carte a été insérée dans un boîtier téléphonique qui correspond à celui saisi sur l'appelant à son interpellation et muni du numéro d'appel 3______. Le raccordement 5______ a été découvert dans l'appartement de l'appelant. Il était allumé, de sorte que ses explications initiales tendant à faire croire à sa non-utilisation sont hautement fantaisistes. La réalité est que les bornes activées par ce raccordement sont toutes situées à proximité immédiate du logement occupé par l'appelant aux Acacias, et ce depuis le début du mois d'août 2011. La preuve est ainsi apportée que le prétendu dépôt de cet appareil par I______ depuis une dizaine de jours est mensongère. L'appelant peut ainsi être tenu pour l'utilisateur des trois téléphones portables précités pour la période pénale sous analyse. Les éléments à charge sont les suivants : -          les observations de la police, qui démontrent des contacts fréquents avec B______ dans son appartement de la rue ______, assurément pas pour y jouer aux cartes vu les dénégations de B______ et J______ ; les indications fournies par la téléphonie vont dans le même sens, avec des bornes activées au chemin ______ pour le raccordement 3______ ; -          les écoutes téléphoniques portant sur le no 1______ (C______) grâce auxquelles il a pu être établi que le précité se fournissait auprès du titulaire des raccordements 2______ et 3______ utilisés par l'appelant ; les aveux tardifs du condamné C______ sont implicitement venus corroborer la nature de leurs contacts liés au trafic de drogue et non à la seule amitié les unissant ; -          les activations de bornes téléphoniques qui témoignent d'une implication de l'appelant par rapport aux deux kilos d'héroïne découverts dans le bois sis à Plan-les-Ouates (présence durant cinq pleines heures de l'appelant [3______] chez B______le 20 octobre 2011, présence à à Plan-les-Ouates de B______ [4______] durant quatre heures en fin d'après-midi le 21 octobre 2011 et découverte le lendemain des trois caches d'héroïne) ; -          la présence avérée de l'appelant à Plan-les-Ouates, notamment les 7, 8 et 11 octobre 2011, qui ne saurait s'expliquer par une promenade d'agrément dans la campagne genevoise ; -          les liens chimiques d'une partie de la drogue cachée avec une saisie antérieure rattachée à la personne de l'appelant ; -          le profil ADN, même partiel, de l'appelant sur la fermeture de dix mini grips saisis dans la deuxième cache, qui ne peut décemment pas s'expliquer par des activités de nettoyage de l'appartement de B______; la présence du profil sur des nœuds des sachets, ajoutée à l'analyse de probabilité, vient renforcer le caractère probant de cet indice ; -          la présence de plus de EUR 5'000.– en petites coupures cachés dans une paire de souliers, au sujet desquels l'explication tenant à l'existence d'un oncle prêteur est dépourvue de toute crédibilité ; -          le langage codé utilisé notamment dans les conversations téléphoniques avec le condamné C______ témoigne de ventes d'héroïne à coup de 50 voire 100 g et l'utilisation pour les livraisons de B______("le jeune", "l'ami") ou d'un autre "ouvrier", les explications fournies relatives à une problématique de logement ne relevant que de la fantaisie la plus débridée ; -          le nombre considérable de connexions au moyen des trois téléphones portables dont l'appelant était l'utilisateur révèle l'ampleur des contacts liés au trafic ; la population visée des toxicomanes connus de la police vient encore renforcer la thèse de son implication ; -          la tentative vaine de rendre inutilisable le téléphone portable que l'appelant portait lors de l'intervention de la police témoigne de sa volonté de ne pas rendre accessible les données qu'il contenait, étant précisé que le récit des policiers est à cet égard plus crédible que ses dénégations ; sauf à avoir des choses à se reprocher, un tel geste ne trouve aucune explication rationnelle. Au vu de ce qui précède, de nombreux indices concordants et probants fondent la culpabilité de l'appelant, nonobstant l'absence d'aveux. Le jugement du Tribunal correctionnel sera ainsi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w:t>
      </w:r>
    </w:p>
    <w:p>
      <w:r>
        <w:rPr>
          <w:b/>
        </w:rPr>
        <w:t>E. 3.2</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 p. 194).</w:t>
      </w:r>
    </w:p>
    <w:p>
      <w:r>
        <w:rPr>
          <w:b/>
        </w:rPr>
        <w:t>E. 3.3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3.4</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3.5.1 À teneur de l'art. 5 al. 1 CPP, les autorités pénales engagent les procédures pénales sans délai et les mènent à terme sans retard injustifié. Le principe de célérité, fondé sur l'art. 31 al. 3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133 I 168 consid. 4 p. 170, 270 consid. 3.4.2 p. 281). En vertu du principe de célérité, une incarcération apparaît disproportionnée lors d'un retard injustifié dans le cours de la procédure pénale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(ATF 128 I 149 consid. 2.2 p. 151/152). Il y a aussi lieu de relever que c'est au juge de fond qu'il appartient, le cas échéant, par une réduction de peine, de tenir compte de la violation de l'obligation de célérité (ATF 128 I 149 c. 2.2.2 p. 152 ; DCPR/111/2011 du 19 mai 2011 ; ACC/40/2010 du 9 juillet 2010 confirmé par ACAS/23/2011 du 31 mars 2011). L'art. 29 al. 1 Cst. garantit notamment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(arrêt du Tribunal fédéral 6B_490/2011 du 14 mai 2012 consid. 3).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(arrêt du Tribunal fédéral 6B_490/2011 du 14 mai 2012 consid. 3 et les arrêts cités ; ACPR/99/2013 du 13 mars 2013). Dans un cas d'application de l'art. 233 CPP, le Tribunal fédéral a rappelé que l'autorité d'appel devait se montrer d'autant plus attentive au respect des principes de proportionnalité et de célérité et s'efforcer de statuer dans les meilleurs délais si la détention subie par l'appelant dépassait d'ores et déjà la durée de la peine privative de liberté ferme prononcée en première instance (arrêt 1B_338/2013 du 16 octobre 2013, consid. 4.2). 3.5.2 Selon la jurisprudence, une violation des règles de la procédure relative à la détention préventive, et en particulier du principe de célérité consacrée à l'art. 5 CPP, peut être réparée d'emblée, indépendamment de la procédure d'indemnisation prévue à l'art. 431 CPP, par une constatation de la violation du principe de célérité, une admission partielle du recours sur ce point et la mise à la charge de l'État des frais de justice (ATF 137 IV 92 consid. 3 p. 96 ; ATF 136 I 274 consid. 2.3 p. 278 ; ATF 137 IV 118 ). La réparation d'une irrégularité par le biais d'un jugement de constatation assorti d'une dispense de frais n'est pas limitée aux cas de violation caractérisée du principe de célérité. Cela peut aussi s'imposer en cas de violation d'un simple délai d'ordre ( ) (ATF 137 IV 118 consid. 2.2 p. 121 ss). Dès lors, même si la procédure de détention et la détention elle-même respectent le principe de la célérité, le recourant n'en a pas moins un droit à ce que l'irrégularité dont il se plaint soit constatée et réparée par le biais d'une dispense des frais de justice. Cette dispense doit s'étendre à l'ensemble de la procédure de prolongation de la détention (arrêt du Tribunal fédéral 1B_656/2011 du 19 décembre 2011). 3.6.1 La faute de l'appelant est lourde et sa place dans le trafic d'héroïne fait de lui un acteur majeur. Comme l'a expliqué la police, des ventes qui excèdent le paquet de 5 g, qui sont l'apanage des dealers de rue, sont le fait de semi-grossistes qui ont pour habitude de vendre dix voire vingt fois plus, ce qui explique pourquoi les chiffres de " 50 francs" ou de "100 francs ou euros" sont omniprésents dans les rétroactifs téléphoniques. Ce rôle est à différencier de la "petite main" qui est en contact direct avec les acheteurs, à l'instar de B______ et de E______, avec des risques accrus de se faire interpeller en flagrant délit, ce qui n'a pas manqué d'arriver le 22 octobre 2011. Du dossier, il est aisé de comprendre que l'appelant avait comme tâche d'approvisionner les vendeurs, dont il tirait ensuite profit sur le plan financier. Les petites coupures ne sont pas incompatibles avec son statut dans la mesure où l'appelant a pu recevoir des vendeurs de drogue travaillant pour son compte le produit des transactions effectuées. L'appelant a agi par appât du gain, dans une situation qui n'avait rien de désespérée , même si la situation économique de son pays d'origineest dégradée. Il dispose d'une formation complète que pourraient lui envier nombre de ses compatriotes. Il est capable de travailler, ainsi qu'il l'a démontré en gagnant de l'argent en Grèce. Il est donc inexplicable qu'il ait fait le choix d'une activité illicite en y consacrant toute son énergie et le temps disponible, ainsi que la densité de ses activités en témoigne. Il n'a certes pas agi sur une longue période, mais son activité délictueuse a été intense dès la fin du mois de septembre 2011, ce dont attestent la fréquence de ses contacts téléphoniques et ses nombreux déplacements sur sol genevois. Le constat peut être fait qu'il tenait une place centrale entre B______ et C______ puisqu'il est établi par la téléphonie que ceux-ci ne communiquaient pas directement entre eux. Cette activité délictueuse pèse d'autant plus qu'elle s'est manifestée par de très nombreuses transactions nécessitant pour chacune d'elles une volonté renouvelée de passer à l'acte. La quantité retenue de deux kilos d'héroïne est exemplaire de l'ampleur du trafic. La faute de l'appelant est rendue plus significative encore par le fait de ses antécédents, qui plus est spécifique pour le principal d'entre eux. La prise de conscience de la gravité de ses actes doit être tenue pour nulle. Il n'a rien compris de sa précédente condamnation, puisqu'il est établi que des échantillons de drogue de l'ancienne affaire pénale sont chimiquement liés à la nouvelle. Non seulement l'appelant a-t-il récidivé dans le délai d'épreuve mais encore a-t-il manifesté tout au long de l'instruction une désinvolture coupable. A la violation grave de la LStup s'ajoutent un mépris pour la législation en vigueur pour être revenu en Suisse et y avoir séjourné sans droit, un concours d'infractions (art. 49 al. 1 CP) et une absence de toute circonstance atténuante au sens de l'art. 48 CP. Dans ces conditions, la peine de cinq ans qui lui a été infligée doit être tenue pour adéquate. En comparaison, celle de l'intimé B______, moins lourde, correspond à son rôle moins élevé dans la hiérarchie et des responsabilités limitées. Le cas du condamné C______ est un peu singulier, dans la mesure où sa condamnation repose sur un accord passé avec le Ministère public. Sa peine plus légère tient cependant aussi compte d'un rang moins élevé dans la hiérarchie, puisque l'appelant était le seul à même de garder les liens avec ses deux comparses. En tout état, toute comparaison avec la peine infligée au condamné C______ ne peut être que vaine, vu les caractéristiques inhérentes à la procédure simplifiée. 3.6.2 Il est douteux que la juridiction d'appel doive apprécier elle-même le respect du principe de célérité, ce qui revient à fournir une appréciation sur sa propre activité. La Cour de céans le fera néanmoins, donnant ainsi suite à l'avis exprimé en ce sens dans l'ordonnance de refus de libération de l'appelant du 25 septembre 2013 (cf. supra , let. C. c.). Le respect du principe de célérité doit être apprécié d'une manière moins stricte à ce stade de la procédure, puisque le jugement de première instance a déjà fourni une première réponse à la culpabilité de l'appelant. Au surplus, la détention subie à ce jour est très largement inférieure à la peine subie en première instance, dans une proportion inférieure à moins du tiers (740 jours de détention avant jugement au 30 octobre 2013 et 6 ans et demi en tout de peine privative de liberté en première instance). Il reste que le délai à rendre le présent arrêt peut être tenu pour excessif, bien que le terme fixé par l'art. 84 al. 4 CPP ne constitue qu'un délai d'ordre (KUHN/JEANNERET, op. cit., n. 21 ad art. 84). La violation du principe de célérité est ainsi avérée, mais sa portée est amoindrie au regard des circonstances du cas d'espèce. Il en sera tenu compte dans la répartition des frais à la charge de l'appelant, conformément au principe posé par la jurisprudence.</w:t>
      </w:r>
    </w:p>
    <w:p>
      <w:r>
        <w:rPr>
          <w:b/>
        </w:rPr>
        <w:t>E. 4</w:t>
      </w:r>
    </w:p>
    <w:p>
      <w:r>
        <w:t>4.1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rPr>
          <w:b/>
        </w:rPr>
        <w:t>E. 4.2</w:t>
      </w:r>
    </w:p>
    <w:p>
      <w:r>
        <w:t>Le Tribunal correctionnela prononcé la révocation du sursis en s'appuyant sur les antécédents de l'appelant et son défaut d'amendement. Cette motivation, certes succincte, ne prête pas le flanc à la critique, sinon que la référence aux antécédents relève de la tautologie s'agissant de révoquer un sursis. Il reste que l'appelant a bien saisi le sens de l'appréciation portée par le Tribunal correctionnel, puisqu'il s'est appliqué en appel à en contester la teneur. En application de l'art. 46 al. 1 et 3 CP, il y a lieu de révoquer le sursis octroyé le 8 décembre 2010, étant donné que l'appelant a commis une infraction aggravée à la LStup pendant le délai d'épreuve de quatre ans et que rien ne permet de dire qu'il ne commettra pas de nouveaux délits à l'avenir. Il a en effet récidivé moins de deux ans après une première condamnation pour le même contexte de faits et après qu'il avait été renvoyé dans son pays d'origine. Sa situation administrative en Suisse l'empêche de travailler légalement, ce qui représente un risque accru d'adopter un comportement illicite pour faire face à ses besoins financiers. Le pronostic est clairement défavorable eu égard en particulier à la réitération d'actes délictueux de même nature et à la situation personnelle de l'appelant, ce qui ne donne pas droit à l'application de la "clause de la seconde chance" introduite par le nouveau Code pénal (A. KUHN / L. MOREILLON / B. VIREDAZ / A. BICHOVSKY (éds), La nouvelle partie générale du Code pénal , 2006 , p. 228-230). C'est donc à bon droit que le Tribunal correctionnel a révoqué le sursis octroyé le 8 décembre 2010.</w:t>
      </w:r>
    </w:p>
    <w:p>
      <w:r>
        <w:rPr>
          <w:b/>
        </w:rPr>
        <w:t>E. 5</w:t>
      </w:r>
    </w:p>
    <w:p>
      <w:r>
        <w:t>L'appelant succombe entièrement. Pour tenir compte de la violation du principe de célérité (cf. supra , ch. 3.6.2), l'appelant ne sera toutefois condamné qu'aux trois quarts des frais de la procédure d'appel, qui comprennent un émolument de jugement de CHF 3'000.- (art. 428 al. 1 CPP et 14 al. 1 let. e du Règlement fixant le tarif des frais en matière pénale ; E 4 10.03), le solde des frais étant laissé à la charge de l'Etat.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