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P/14833/2019 vom 12. Dezember 2023</w:t>
      </w:r>
    </w:p>
    <w:p>
      <w:r>
        <w:t>GE Cour de justice, 2023-12-12, FR</w:t>
      </w:r>
    </w:p>
    <w:p>
      <w:r>
        <w:rPr>
          <w:b/>
        </w:rPr>
        <w:t xml:space="preserve">Quelle: </w:t>
      </w:r>
      <w:r>
        <w:t>https://mcp.opencaselaw.ch/entscheid/ge_gerichte_P_14833_2019</w:t>
      </w:r>
    </w:p>
    <w:p>
      <w:r>
        <w:t>FR: GE_GERICHTE P/14833/2019 du 12 décembre 2023</w:t>
      </w:r>
    </w:p>
    <w:p>
      <w:r>
        <w:t>IT: GE_GERICHTE P/14833/2019 del 12 dicembre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2.1.2.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(ATF 127 III 496 consid. 3b/bb ; arrêts du Tribunal fédéral 6B_279/2018 du 27 juillet 2018 consid. 1.1 ; 4A_292/2017 du 29 janvier 2018 consid. 3.1 ; 6B_1186/2014 du 3 décembre 2015 consid. 4.2). 2.1.3. L'art. 29 CPP met en œuvre le principe d'unité de la procédure, qui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(ATF 138 IV 214 consid. 3.2 ; 138 IV 29 consid. 3.2 ; arrêt du Tribunal fédéral 1B_580/2021 du 10 mars 2022 consid. 2.1). La conduite de procédures séparées ou la disjonction de causes en cas d'infractions commises par plusieurs auteurs ou participants peut en effet revêtir un caractère problématique du point de vue du droit à un procès équitable garantit aux art. 29 al. 1 Cst. et 6 par. 1 CEDH, eu égard au risque de voir l'un des intéressés rejeter la faute sur les autres (ATF 134 IV 328 consid. 3.3 ; 116 Ia 305 consid. 4b ; arrêt du Tribunal fédéral 6B_655/2022 du 31 août 2022 consid. 1.1). 2.1.4. Il appartient au ministère public, en principe exclusivement, sous réserve des correctifs prévus aux art. 329, 333 et 344 CPP, de décider quels faits et quelles infractions vont être renvoyés en jugement (arrêt du Tribunal fédéral 6B_690/2014 du 12 juin 2015 consid. 4.2). Si le ministère public décide de ne pas poursuivre certains faits, il doit prononcer un classement (art. 319 CPP).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Un classement partiel n'entre en ligne de compte que si plusieurs faits ou comportements doivent être jugés et qu'ils peuvent faire l'objet de décisions séparées. Tel n'est pas le cas en présence de plusieurs qualifications juridiques d'un seul et même état de faits. Un classement, même partiel, devient définitif s'il n'est pas attaqué en temps utile. L'autorité de jugement ne peut en effet plus se saisir des infractions classées sans violer le principe ne bis in idem (ATF 144 IV 362 consid. 1.3 et 1.4). 2.1.5.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(cf. arrêt du Tribunal fédéral 6B_819/2018 du 25 janvier 2019 consid. 1.3.5). 2.1.6. La doctrine est divisée sur la question de la formalisation de la renonciation à poursuivre certaines infractions dans le cadre d'une procédure simplifiée. SCHMID préconise que soit rendue une décision de classement (N. SCHMID, Handbuch des schweizerischen Strafprozessrechts, 1 ère éd., Zurich 2009, N 1375 [pour la 4 ème éd., cf. N 1383]), tandis que JEANNERET prône le classement implicite dès lors que la première solution aboutirait à l'entrée en force d'une décision avant l'issue de la procédure simplifiée, avec le risque qu'elle échoue ; cet auteur recommande toutefois que le dossier soit suffisamment explicite sur les infractions auxquelles il est renoncé afin de garantir au prévenu l'absence de nouvelle poursuite (R. PFISTER-LIECHTI (éd), La procédure pénale fédérale , Fondation pour la formation continue des juges suisses, Berne 2010 p. 175). SCHWARZENEGGER propose de les décrire précisément dans l'acte d'accusation, étant toutefois précisé qu'il privilégie une conception restreinte de la renonciation, possible selon lui uniquement aux conditions de l'art. 8 CPP (A. DONATSCH / T. HANSJAKOB / V. LIEBER (éds), Kommentar zur Schweizerischen Strafprozessordnung (StPO) , 1 ère éd., Zurich 2010, N 5-12 ad art. 358 [pour la 3 ème éd., cf. N 7]). Enfin, MAZOU suggère de mentionner dans l'acte d'accusation une proposition destinée au Tribunal de première instance, qui libérerait le prévenu de certaines infractions au moment où l'acte d'accusation serait assimilé à un jugement, avec l'obligation pour le procureur d'instruire avec un certain degré de précision les faits qu'il abandonne, quand bien même le but d'une telle procédure serait d'éviter une instruction détaillée (M. MAZOU, La procédure simplifiée dans le nouveau Code de procédure pénale : principes et difficultés, in RPS 129/2011, p. 11 ss).</w:t>
      </w:r>
    </w:p>
    <w:p>
      <w:r>
        <w:rPr>
          <w:b/>
        </w:rPr>
        <w:t>E. 2.2</w:t>
      </w:r>
    </w:p>
    <w:p>
      <w:r>
        <w:t>En l'espèce , l'acte d'accusation notifié à l'appelant le 21 novembre 2018 ne fait aucune mention des huit cas litigieux, lesquels ne figurent pas non plus dans le jugement rendu en 2019. Il n'en ressort a fortiori pas la moindre proposition de renonciation de poursuite. Les échanges de courriers entre le MP et le Ministère public du Haut-Valais indiquent sans équivoque que le premier n'a instruit ni ces faits, ni n'en a tenu compte dans le cadre de la peine négociée. Par surabondance, l'appelant, lui-même, n'a jamais allégué que le MP aurait renoncé à poursuivre les huit premiers complexes de faits, bien au contraire ; depuis le début de la présente cause, il n'a eu de cesse de répéter qu'il avait déjà été condamné pour ces faits. Dans ces conditions, il n'y a pas de place pour un classement implicite. Son second argument visant la violation de son droit à être jugé en un seul jugement va également dans ce sens : en effet, soit l'appelant a déjà été jugé pour ces faits, soit il ne l'a pas été. Compte tenu du fait qu'il était constamment assisté par avocat durant toute cette procédure et que le contenu de l'acte d'accusation ne souffre d'aucune ambiguïté, l'appelant ne peut se prévaloir d'aucun malentendu, ni de sa bonne foi. Il a accepté la sanction proposée en toute connaissance de cause. Qu'il ait été entendu par la police vaudoise à l'époque n'y change rien, dans la mesure où seul un classement ou un jugement met fin à sa mise en prévention. En outre, avant-même la notification de l'acte d'accusation, l'appelant n'était pas sans ignorer que ces faits n'avaient pas non plus été retenus pour fonder sa détention provisoire, à teneur des ordonnances du TMC. Ces faits n'ont donc jamais été appréhendés par la procédure de 2019, de sorte que l'appelant ne peut se prévaloir d'aucune violation du principe ne bis in idem. Cela étant, si le principe de l'unicité de la procédure n'a pas été respecté in casu, les droits de l'appelant n'en ont pas pâti pour autant. Il en va de même de la " notification " de l'avis de recherche et d'arrestation du 7 octobre 2019, remplacé par celui du 8 septembre 2021 qui lui a été immédiatement présenté lors de son arrestation, ainsi qu'à son conseil. Enfin, l'appelant ne remet pas en question, à juste titre, sa culpabilité au-delà du classement plaidé. Au vu de ce qui précède, l'appel sera rejeté et le jugement confirmé sur ce point.</w:t>
      </w:r>
    </w:p>
    <w:p>
      <w:r>
        <w:rPr>
          <w:b/>
        </w:rPr>
        <w:t>E. 3.1</w:t>
      </w:r>
    </w:p>
    <w:p>
      <w:r>
        <w:t>Le vol par métier est réprimé d'une peine privative de liberté de dix ans au plus ou d'une peine pécuniaire de 90 jours-amende au moins (art. 139 ch. 2 CP), de même que l'utilisation frauduleuse d'un ordinateur par métier (art. 147 al. 2 CP). L'infraction de violation de domicile est passible d'une peine privative de liberté de trois ans au plus ou d'une peine pécuniaire (art. 186 CP), ce qui est également le cas de la rupture de ban (art. 291 CP). Enfin, la consommation de stupéfiants est sanctionnée par l'amende (art. 19a LStup).</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3.1.2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3.1.3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3.1.4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 138 IV 113 consid. 3.4.1).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 JdT 2017 IV 221 ; SJZ/RSJ 112/2016 p. 530 ; AJP 2017 p. 408 ; AARP/49/2017 du 10 février 2017 consid. 3.2.1 à 3.2.3 ; ATF 142 IV 265 consid. 2.3.3 = JdT 2017 IV 129 ; 141 IV 61 consid. 6.1.2 ; arrêt du Tribunal fédéral 6B_623/2016 du 25 avril 2017 consid. 1.1 et 1.4). Lorsque le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(ATF 145 IV 377 consid. 2.3.3). Cependant, 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 arrêts 6B_1214/2021 du 26 octobre 2022 consid. 2.1.5 ; 6B_36/2019 du 2 juillet 2019 consid. 3.6.1 ; 6B_1366/2016 du 6 juin 2017 consid. 4.4.2 ; 6B_207/2013 du 10 septembre 2013 consid. 1.3.1 ; M. NIGGLI / H. WIPRÄCHTIGER, Basler Kommentar Strafrecht I : Art. 1-136 StGB ,</w:t>
      </w:r>
    </w:p>
    <w:p>
      <w:r>
        <w:rPr>
          <w:b/>
        </w:rPr>
        <w:t>E. 3.1.5</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À teneur de l'art. 89 al. 6 CP, si, en raison de la nouvelle infraction, les conditions d'une peine privative de liberté ferme sont réunies et que celle-ci entre en concours avec le solde de la peine devenu exécutoire en raison de la révocation, le juge prononce une peine d'ensemble, en vertu de l'art. 49 al. 1 CP. Celle-ci est régie par les dispositions sur la libération conditionnelle. Si seul le solde de la peine doit être exécuté, l'art. 86 al. 1 à 4 CP est applicable.</w:t>
      </w:r>
    </w:p>
    <w:p>
      <w:r>
        <w:rPr>
          <w:b/>
        </w:rPr>
        <w:t>E. 3.2</w:t>
      </w:r>
    </w:p>
    <w:p>
      <w:r>
        <w:t>En l'espèce, la faute de l'appelant est lourde. Il s'en est pris à différents biens juridiques mais en particulier au patrimoine et à la liberté d'autrui, tout en persistant à revenir en Suisse dans le seul but de commettre ces infractions, au mépris de la décision d'expulsion prononcée à son encontre. Il a agi avec la circonstance aggravante du métier, soit à la manière d'un professionnel et étant prêt à réitérer ses actes un nombre indéterminé de fois. Son mode opératoire était particulièrement bien rodé, étant souligné qu'il s'en prenait exclusivement aux personnes âgées, car plus vulnérables, qu'il repérait et suivait, ce qui apparaît foncièrement odieux, lâche et répréhensible. Son activité délictueuse, à laquelle seule son arrestation a mis fin, a été intense et s'est étendue sur une longue période pénale, étant précisé que si sa première incarcération l'a quelque peu interrompu dans ses agissements, elle ne l'a toutefois en rien dissuadé de récidiver puisqu'il a recommencé pas moins de deux mois après sa libération conditionnelle, n'ayant pas su saisir sa chance. Il a agi dans plusieurs cantons, lésant ainsi de nombreuses personnes. Ses mobiles n'ont rien d'honorables puisqu'il a agi par appât du gain facile, par convenance personnelle et au mépris de l'ordre juridique suisse, aux fins essentiellement de financer son train de vie et sa consommation de stupéfiants. Sa situation personnelle n'explique pas ses agissements, étant précisé que sa dette alléguée n'est pas établie et qu'il s'était déjà prévalu d'une explication similaire dans le cadre de la procédure antérieure – ce qui le décrédibilise d'autant –, outre le fait que des alternatives s'offraient à lui au vu de ses formations professionnelles. Si sa collaboration durant la procédure a été plutôt bonne, sa prise de conscience n'est, en revanche, qu'amorcée. Ses excuses sont en partie de circonstances, dans la mesure où il les avait déjà servies lors de la précédente procédure. De plus, il n'a commencé à indemniser ses victimes que sous l'impulsion du TCO. Il y a concours d'infractions, facteur aggravant de la peine. L'appelant a de surcroit de nombreux antécédents spécifiques en France et en Suisse, qui lui ont déjà valu plusieurs incarcérations, sans jamais le décourager de récidiver. Au vu de ce qui précède, seule une peine privative de liberté entre en considération, hormis l'amende réprimant la consommation de stupéfiant, laquelle a été fixée à CHF 300.- par les premiers juges et sera confirmée dans la mesure où elle sanctionne adéquatement cette contravention. Les huit premiers cas de vols entrent en concours rétrospectif partiel, étant antérieurs à la condamnation du 15 janvier 2019, tandis que les 16 autres cas sont postérieurs à celle-ci. Bien que ces faits résultent tous du métier, il y a lieu de considérer que l'appelant, en sortant de détention où il a purgé de nombreux mois en raison de faits identiques, s'est forgé une nouvelle résolution de commettre ces infractions, de sorte qu'elles ne procèdent pas d'une décision unique mais bien d'une volonté de récidiver en toute connaissance de cause. Ainsi, si le premier juge avait dû connaitre des huit occurrences de violation de domicile et autant de vols, consommés ou tentés, supplémentaires (soit un total de 15 vols avant que le TP ne statue le 15 janvier 2019), il aurait fixé une peine de base de 18 mois pour les réprimer, à laquelle il aurait ajouté cinq mois pour tenir compte de l'utilisation frauduleuse d'un ordinateur par métier (peine hypothétique huit mois) et d'un mois pour sanctionner les huit violations de domiciles (peine hypothétique de deux mois), soit un total de 24 mois. Ainsi, la peine complémentaire sera fixée à six mois. Pour les infractions postérieures à la première condamnation, qui commandent le prononcé d'une peine indépendante, l'infraction abstraitement la plus grave est celle du vol par métier, commise à 16 reprises. Vu l'ensemble des circonstances, notamment au regard du fait que le prévenu s'est montré particulièrement imperméable à la sanction, la peine privative de liberté de base sera arrêtée à 24 mois, aggravée de huit mois supplémentaires pour tenir compte de l'utilisation frauduleuse d'un ordinateur par métier (peine hypothétique de dix mois), auxquels s'ajoutent quatre mois pour les violations de domicile (peine hypothétique de six mois) et huit mois supplémentaires pour les sept ruptures de ban (peine hypothétique de dix mois). Ainsi, la peine indépendante devrait être de 44 mois. Vu la récidive de l'appelant durant le délai d'épreuve et son absence de scrupules à reprendre ses activités délictueuses, sa libération conditionnelle doit également être révoquée et le solde de peine de six mois pris en considération dans le calcul d'une peine d'ensemble avec ces autres faits postérieurs. Cela étant, c'est à tort que les premiers juges ont additionné ce solde aux deux autres peines dès lors que le principe d'aggravation s'applique ici également, conformément à l'art. 89 al. 6 CP. Ainsi, le solde de peine restant doit être réduit à quatre mois qui s'ajouteront à la peine privative de liberté indépendante pour un total de 48 mois. En conséquence, en tenant compte de la peine d'ensemble de 48 mois et de la peine complémentaire de six mois qui s'additionne, l'appelant devrait être condamné à une peine privative de liberté de quatre ans et six mois, laquelle se heurte néanmoins au principe de l'interdiction de reformatio in pejus. Ainsi, la peine de quatre ans fixée par les premiers juges sera confirmée, en tant que peine partiellement complémentaire au jugement du 15 janvier 2019, sous déduction de la détention avant jugement. Partant, l'appel sera rejeté et le jugement intégralement confirmé sur ce point.</w:t>
      </w:r>
    </w:p>
    <w:p>
      <w:r>
        <w:rPr>
          <w:b/>
        </w:rPr>
        <w:t>E. 4</w:t>
      </w:r>
    </w:p>
    <w:p>
      <w:r>
        <w:t>4.1.1. 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4.1.2. 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4.2</w:t>
      </w:r>
    </w:p>
    <w:p>
      <w:r>
        <w:t>En l'espèce, l'appelant a été condamné pour des infractions qui relèvent de l'expulsion obligatoire et qui présentent une certaine gravité, ce qu'il ne conteste pas. Ancré dans la délinquance depuis presque deux décennies, il a déjà passablement sévi en Europe, comme le démontrent les extraits de ses casiers judiciaires français, belge et suisse. Ainsi, il représente sans conteste une menace pour la sécurité publique des autres États membres. L'appelant dispose d'un droit de séjour durable en Tunisie ainsi qu'aux États-Unis, où résident sa mère et ses frères, respectivement son ex-femme et ses enfants. Selon ses dires, il aurait suivi une formation de cuisinier à U______ et travaillé plusieurs années dans une boulangerie-pâtisserie de V______, de sorte qu'il pourrait mettre à profit ses nouvelles compétences acquises en détention. Le fait qu'il soit séparé de la mère de ses enfants est sans préjudice de ce qui précède. En revanche, il n'a aucun projet concret en Italie ou en France, où il ne bénéficie d'aucun titre de séjour et où ses seules attaches sont une sœur et quelques connaissances. Au vu de ce qui précède, c'est en vain que l'appelant s'oppose au signalement de son expulsion au SIS, lequel s'impose et sera donc confirmé.</w:t>
      </w:r>
    </w:p>
    <w:p>
      <w:r>
        <w:rPr>
          <w:b/>
        </w:rPr>
        <w:t>E. 5</w:t>
      </w:r>
    </w:p>
    <w:p>
      <w:r>
        <w:t>L'appelant, qui succombe, supportera les frais de la procédure d'appel (art. 428 CPP), lesquels comprendront un émolument de jugement en CHF 1'500.-.</w:t>
      </w:r>
    </w:p>
    <w:p>
      <w:r>
        <w:rPr>
          <w:b/>
        </w:rPr>
        <w:t>E. 6</w:t>
      </w:r>
    </w:p>
    <w:p>
      <w:r>
        <w:t>Pour le surplus, il ne se justifie pas de revenir sur les conclusions civiles octroyées en première instance, ni sur les diverses mesures de restitution ordonnées, points qui ne sont pas contestés en appel et qui consacrent une correcte application du droit (cf. art. 404 CPP).</w:t>
      </w:r>
    </w:p>
    <w:p>
      <w:r>
        <w:rPr>
          <w:b/>
        </w:rPr>
        <w:t>E. 7</w:t>
      </w:r>
    </w:p>
    <w:p>
      <w:r>
        <w:t>Considéré globalement, l'état de frais produit par M e C______, défenseure d'office de A______, satisfait les exigences légales et jurisprudentielles régissant l'assistance judiciaire gratuite en matière pénale. Il convient cependant de le compléter d'une heure et dix minutes pour la durée des débats d'appel, ainsi que d'une vacation . Sa rémunération sera partant arrêtée à CHF 1'331.90 correspondant à cinq heures et dix minutes d'activité au tarif de CHF 200.-/heure (CHF 1'033.35), plus la majoration forfaitaire de 10% (CHF 103.35), l'équivalent de la TVA au taux de 7.7% (CHF 95.20), ainsi qu'une vacation en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