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P/14824/2015 vom 9. Mai 2017</w:t>
      </w:r>
    </w:p>
    <w:p>
      <w:r>
        <w:t>GE Cour de justice, 2017-05-09, FR</w:t>
      </w:r>
    </w:p>
    <w:p>
      <w:r>
        <w:rPr>
          <w:b/>
        </w:rPr>
        <w:t xml:space="preserve">Quelle: </w:t>
      </w:r>
      <w:r>
        <w:t>https://mcp.opencaselaw.ch/entscheid/ge_gerichte_P_14824_2015</w:t>
      </w:r>
    </w:p>
    <w:p>
      <w:r>
        <w:t>FR: GE_GERICHTE P/14824/2015 du 9 mai 2017</w:t>
      </w:r>
    </w:p>
    <w:p>
      <w:r>
        <w:t>IT: GE_GERICHTE P/14824/2015 del 9 maggio 2017</w:t>
      </w:r>
    </w:p>
    <w:p>
      <w:pPr>
        <w:pStyle w:val="Heading2"/>
      </w:pPr>
      <w:r>
        <w:t>Regeste</w:t>
      </w:r>
    </w:p>
    <w:p>
      <w:r>
        <w:t>DÉTENTION PROVISOIRE ; SOUPÇON ; RISQUE DE RÉCIDIVE ; PROPORTIONNALITÉ | .221; CPP.197; CP.146; CP.251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Il n'y a pas lieu de laisser le recourant compléter son recours, son défenseur d'office ayant déposé un recours motivé dans le délai de l'art. 396 al. 1 CPP. Selon l'art. 385 al. 1 CPP, les moyens de fait et de droit doivent d'ailleurs être tout entiers contenus dans le mémoire à déposer avant l'expiration du délai de recours (arrêts du Tribunal fédéral 1B_363/2014 consid. 2.1 et 6B_688/2013 consid. 4.2, avec les références). Pour le surplus, le double échange d'écritures a amplement permis au recourant de s'exprimer et de prendre position sur les arguments du Ministère public.![endif]&gt;![if&gt;</w:t>
      </w:r>
    </w:p>
    <w:p>
      <w:r>
        <w:rPr>
          <w:b/>
        </w:rPr>
        <w:t>E. 3</w:t>
      </w:r>
    </w:p>
    <w:p>
      <w:r>
        <w:t>Le recourant, se prévalant du retrait de plainte de B______, semble alléguer l'absence ou la diminution des charges retenues contre lui.![endif]&gt;![if&gt;</w:t>
      </w:r>
    </w:p>
    <w:p>
      <w:r>
        <w:rPr>
          <w:b/>
        </w:rPr>
        <w:t>E. 3.1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2.3).![endif]&gt;![if&gt;</w:t>
      </w:r>
    </w:p>
    <w:p>
      <w:r>
        <w:rPr>
          <w:b/>
        </w:rPr>
        <w:t>E. 3.2</w:t>
      </w:r>
    </w:p>
    <w:p>
      <w:r>
        <w:t>Dans ses trois précédents arrêts (ACPR/1______, ACPR/2______ et ACPR/3______), la Chambre de céans a retenu l'existence de charges suffisantes contre le recourant. Depuis le 10 mars 2017, date du dernier arrêt, B______ a retiré sa plainte pénale à l'égard du co-prévenu du recourant, et ce dernier considère que ce retrait lui profite. Le Ministère public n'ayant pas tranché ce litige, il n'appartient pas à la Chambre de céans de l'examiner. Cette question peut toutefois demeurer ouverte, y compris sous l'angle de la mise en prévention complémentaire du 4 mai 2017 (cf. B.j. supra ), dès lors que les charges demeurent suffisantes, tant s'agissant de la prévention découlant de la jonction du 27 janvier 2017 (cf. B.e. supra ), qu'avec la reprise de la procédure pénale ______ pour escroquerie et faux dans les titres. Bien que le recourant invoque, à cet égard, l'aspect purement civil du dossier, il ressort au contraire des faits établis à ce jour, voire reconnus, qu'il a conclu plusieurs dizaines d'abonnements auprès de O______ et P______, à l'aide de fausses identités et/ou dates de naissance, dans le but de se faire remettre de nombreux appareils téléphoniques, gratuitement ou pour des sommes qu'il n'avait pas l'intention de régler puisqu'il n'en avait pas les moyens – étant à l'assistance publique –, appareils qu'il a ensuite vendus, en Suisse et à l'étranger, pour se procurer un enrichissement. Le préjudice des deux opérateurs s'élève, au total, à plus de CHF 55'000.-.![endif]&gt;![if&gt; Le besoin de l'instruction demeure, notamment dans le but de déterminer l'étendue de l'activité délictuelle du prévenu, le Ministère public ayant ordonné, à cet égard, de nouveaux actes d'enquêtes. Partant, la première condition de l'art. 221 al. 1 1 ère phrase est réalisée.</w:t>
      </w:r>
    </w:p>
    <w:p>
      <w:r>
        <w:rPr>
          <w:b/>
        </w:rPr>
        <w:t>E. 4</w:t>
      </w:r>
    </w:p>
    <w:p>
      <w:r>
        <w:t>Le recourant conteste l'existence d'un risque de réitération.![endif]&gt;![if&gt;</w:t>
      </w:r>
    </w:p>
    <w:p>
      <w:r>
        <w:rPr>
          <w:b/>
        </w:rPr>
        <w:t>E. 4.1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 3.2 p. 86 ; DCPR/205/2011 du 9 août 2011).![endif]&gt;![if&gt;</w:t>
      </w:r>
    </w:p>
    <w:p>
      <w:r>
        <w:rPr>
          <w:b/>
        </w:rPr>
        <w:t>E. 4.2</w:t>
      </w:r>
    </w:p>
    <w:p>
      <w:r>
        <w:t>En l'espèce, le recourant objecte l'absence d'un risque de réitération, aucune infraction n'étant, selon lui, " prouvée ou répétée ". En l'occurrence, dans ses trois précédents arrêts, la Chambre de céans a retenu l'existence d'un risque de réitération concret et sérieux, le recourant ayant déjà été condamné à deux reprises pour escroquerie, la dernière fois en 2014. Dès lors que des charges suffisantes d'escroqueries répétées ont ici été retenues (cf. consid. 2.2. supra ), le risque de réitération demeure en l'état, rendant justifiée la détention du prévenu.![endif]&gt;![if&gt;</w:t>
      </w:r>
    </w:p>
    <w:p>
      <w:r>
        <w:rPr>
          <w:b/>
        </w:rPr>
        <w:t>E. 5</w:t>
      </w:r>
    </w:p>
    <w:p>
      <w:r>
        <w:t>Compte tenu de ce qui précède, point n'est besoin d'examiner l'existence, ou non, d'un risque de collusion et/ou de fuite.![endif]&gt;![if&gt;</w:t>
      </w:r>
    </w:p>
    <w:p>
      <w:r>
        <w:rPr>
          <w:b/>
        </w:rPr>
        <w:t>E. 6</w:t>
      </w:r>
    </w:p>
    <w:p>
      <w:r>
        <w:t>Au vu du risque de réitération retenu, on ne voit pas quelle mesure de substitution pourrait être ordonnée aux fins d'empêcher le prévenu de commettre des infractions de même nature et il n'en propose d'ailleurs aucune.![endif]&gt;![if&gt;</w:t>
      </w:r>
    </w:p>
    <w:p>
      <w:r>
        <w:rPr>
          <w:b/>
        </w:rPr>
        <w:t>E. 7</w:t>
      </w:r>
    </w:p>
    <w:p>
      <w:r>
        <w:t>Le recourant invoque une violation du principe de proportionnalité.![endif]&gt;![if&gt;</w:t>
      </w:r>
    </w:p>
    <w:p>
      <w:r>
        <w:rPr>
          <w:b/>
        </w:rPr>
        <w:t>E. 7.1</w:t>
      </w:r>
    </w:p>
    <w:p>
      <w:r>
        <w:t>A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7.2).![endif]&gt;![if&gt;</w:t>
      </w:r>
    </w:p>
    <w:p>
      <w:r>
        <w:rPr>
          <w:b/>
        </w:rPr>
        <w:t>E. 7.2</w:t>
      </w:r>
    </w:p>
    <w:p>
      <w:r>
        <w:t>En l'espèce, le recourant est poursuivi pour plusieurs délits et crimes (art. 10 al. 2 et 3 CP). De plus, il a déjà été condamné pour des faits similaires, la dernière fois en 2014. Ainsi, la détention provisoire ordonnée au 9 août 2017 (soit au total un peu moins de huit mois), n'apparaît pas supérieure à la peine concrètement encourue, si les soupçons du Ministère public devaient être confirmés en l'état des charges retenues contre lui.![endif]&gt;![if&gt; Partant, le principe de la proportionnalité est respecté.</w:t>
      </w:r>
    </w:p>
    <w:p>
      <w:r>
        <w:rPr>
          <w:b/>
        </w:rPr>
        <w:t>E. 8</w:t>
      </w:r>
    </w:p>
    <w:p>
      <w:r>
        <w:t>Le recours s'avère ainsi infondé et doit être rejeté.![endif]&gt;![if&gt;</w:t>
      </w:r>
    </w:p>
    <w:p>
      <w:r>
        <w:rPr>
          <w:b/>
        </w:rPr>
        <w:t>E. 9</w:t>
      </w:r>
    </w:p>
    <w:p>
      <w:r>
        <w:t>Le recourant, qui succombe, supportera les frais envers l'Etat, qui comprendront un émolument de CHF 1'000.-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