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P/1479/2012 vom 26. Februar 2020</w:t>
      </w:r>
    </w:p>
    <w:p>
      <w:r>
        <w:t>GE Cour de justice, 2020-02-26, FR</w:t>
      </w:r>
    </w:p>
    <w:p>
      <w:r>
        <w:rPr>
          <w:b/>
        </w:rPr>
        <w:t xml:space="preserve">Quelle: </w:t>
      </w:r>
      <w:r>
        <w:t>https://mcp.opencaselaw.ch/entscheid/ge_gerichte_P_1479_2012</w:t>
      </w:r>
    </w:p>
    <w:p>
      <w:r>
        <w:t>FR: GE_GERICHTE P/1479/2012 du 26 février 2020</w:t>
      </w:r>
    </w:p>
    <w:p>
      <w:r>
        <w:t>IT: GE_GERICHTE P/1479/2012 del 26 febbraio 2020</w:t>
      </w:r>
    </w:p>
    <w:p>
      <w:pPr>
        <w:pStyle w:val="Heading2"/>
      </w:pPr>
      <w:r>
        <w:t>Regeste</w:t>
      </w:r>
    </w:p>
    <w:p>
      <w:r>
        <w:t>SÉQUESTRE(MESURE PROVISIONNELLE);PRÉVOYANCE PROFESSIONNELLE SELON LA LPP;QUOTITÉ SAISISSABLE | CP.71.al3; LP.92.al1.ch10; LP.93</w:t>
      </w:r>
    </w:p>
    <w:p>
      <w:pPr>
        <w:pStyle w:val="Heading2"/>
      </w:pPr>
      <w:r>
        <w:t>Erwägungen</w:t>
      </w:r>
    </w:p>
    <w:p>
      <w:r>
        <w:rPr>
          <w:b/>
        </w:rPr>
        <w:t>E. 1</w:t>
      </w:r>
    </w:p>
    <w:p>
      <w:r>
        <w:t>Le recours est recevable pour avoir été déposé selon la forme et dans le délai prescrits (art. 385 al. 1 et 396 al. 1 CPP), concerner une ordonnance de refus de levée de séquestres sujette à contestation auprès de la Chambre de céans (art. 393 al. 1 let. a CPP), et émaner de la prévenue (art. 104 al. 1 let. a CPP), partie à la procédure qui a qualité pour agir, ayant un intérêt juridiquement protégé à l'annulation ou à la modification de cette décision (art. 382 al. 1 CPP).</w:t>
      </w:r>
    </w:p>
    <w:p>
      <w:r>
        <w:rPr>
          <w:b/>
        </w:rPr>
        <w:t>E. 2</w:t>
      </w:r>
    </w:p>
    <w:p>
      <w:r>
        <w:t>La recourante conteste la licéité du séquestre litigieux, au motif qu'il porterait sur des avoirs totalement/partiellement insaisissables. 2.1.1. L'art. 71 al. 3 CP permet à l'autorité d'instruction de placer sous séquestre, en vue de l'exécution d'une créance compensatrice, jusqu'à concurrence du montant présumé du produit de l'infraction, des valeurs patrimoniales appartenant à la personne concernée, y compris des avoirs de provenance licite (L. JACQUEMOUD-ROSSARI, La créance compensatrice : état des lieux de la jurisprudence , in SJ 2019 II 298). En tant que mesure provisoire, et purement conservatoire, le séquestre tend à éviter que le débiteur de la créance compensatrice ne dispose de ses biens pour les soustraire à l'action future de ses créanciers ( ibidem ). L'autorité doit pouvoir statuer rapidement ( cf. art. 263 al. 2 CPP), ce qui exclut qu'elle résolve des questions juridiques complexes ou qu'elle attende d'être renseignée de manière exacte et complète sur les faits avant d'agir. Ainsi, tant que l'étendue de la mesure ne paraît pas manifestement violer le principe de proportionnalité, notamment sous l'angle du respect des conditions minimales d'existence (art. 12 Cst féd./art. 93 LP), le séquestre doit être maintenu; en effet, c'est devant le juge du fond, au moment du prononcé de la créance compensatrice, que la situation personnelle, notamment financière, du prévenu sera prise en considération ( cf. art. 71 al. 2 CP), respectivement au moment de l'exécution de la créance compensatrice par l'office des poursuites (ATF 141 IV 360 consid. 3.2 et 3.4 in fine ). 2.1.2. En vertu de la LP, le droit aux prestations de prévoyance est insaisissable (art. 92 LP) aussi longtemps que celles-ci ne sont pas exigibles, c'est-à-dire jusqu'à la survenance de l'événement assuré (retraite, etc.); après cet événement, les rentes/capital versé(s) sont relativement saisissable(s) (art. 93 LP; L. DALLÈVES/B. FOËX/N. JEANDIN (éds), Commentaire romand de la LP , Bâle 2005, n. 163 et ss ad art. 92). D'après le règlement relatif aux comptes de libre passage appliqué par C______ (consultable sur le site https://www.C______.ch/______/reglement-compte-de-libre- passage.pdf), le versement du capital - ce prestataire ne semble pas offrir de rente - est exigible au plus tôt cinq ans avant l'âge légal de la retraite, pour autant que l'assuré en fasse la demande auprès de la Fondation et que, dans l'hypothèse où il est marié, son conjoint ait acquiescé à la remise intégrale des fonds (art. 6 al. 2 et 4 cum art. 9).</w:t>
      </w:r>
    </w:p>
    <w:p>
      <w:r>
        <w:rPr>
          <w:b/>
        </w:rPr>
        <w:t>E. 2.2</w:t>
      </w:r>
    </w:p>
    <w:p>
      <w:r>
        <w:t>En l'espèce, la recourante ne fournit aucune indication permettant de qualifier, à ce stade, son capital LPP absolument ou relativement insaisissable; singulièrement, l'on ignore si elle a entrepris les démarches nécessaires au versement anticipé de ses avoirs (obtention de l'accord de son époux et requête auprès de la Fondation). Cette qualification n'est toutefois pas, en tant que telle, déterminante. En effet, l'autorité d'instruction n'est nullement tenue de procéder à un examen détaillé de la situation financière de la prévenue, notamment sous l'angle des art. 92 et 93 LP - prérogative qui ressortit au juge du fond, voire à l'office compétent en matière de poursuites -, mais doit uniquement s'assurer que la mesure demeure proportionnée, sous l'angle de la vraisemblance. Tel est le cas en l'occurrence, quelle que soit l'hypothèse envisagée. En effet, à supposer que les avoirs LPP ne soient pas exigibles (art. 92 LP), rien ne permet de considérer qu'ils ne le seront pas au moment où le juge du fond se prononcera sur l'existence de la créance compensatrice - la recourante, qui souhaite bénéficier du versement (anticipé) de son capital, pourrait avoir effectué les démarches nécessaires d'ici-là -, créance que ces fonds tendent à garantir. Inversement, si le capital est déjà exigible, et partant relativement saisissable au sens de l'art. 93 LP, la prévenue ne rend pas vraisemblable que le séquestre porterait atteinte à ses conditions minimales d'existence. En effet, quand bien même il faudrait admettre qu'elle ne dispose plus, comme elle le prétend, d'une partie des fonds détournés - hypothèse qui n'apparaît pas d'emblée convaincante, au vu du type de dépenses qu'elle allègue avoir fait -, il n'est pas établi qu'elle sera sans ressource dès 2020, le versement d'aides étatiques et/ou d'aliments de son époux (effectifs/à requérir) n'apparaissant, à ce stade, pas exclu. Par ailleurs, s'agissant de ses charges, l'on ignore, en l'absence de justificatif (copie d'un nouveau contrat de bail, etc.), si D______ a effectivement quitté le domicile familial, et le cas échéant, depuis quand, respectivement si la prévenue a entrepris des démarches tendant à trouver un logement moins onéreux. Des considérations qui précèdent, il résulte que le séquestre demeure, en l'état, conforme aux prescriptions légales et proportionné. L'ordonnance querellée doit donc être confirmée.</w:t>
      </w:r>
    </w:p>
    <w:p>
      <w:r>
        <w:rPr>
          <w:b/>
        </w:rPr>
        <w:t>E. 3</w:t>
      </w:r>
    </w:p>
    <w:p>
      <w:r>
        <w:t>La prévenue, qui succombe, supportera les frais envers l'État, lesquels seront fixés en totalité à CHF 1'000.- (art. 428 al. 1 CPP et 13 al. 1 du Règlement fixant le tarif des frais en matière pénale, RTFMP; E 4 10.03), étant relevé que l'autorité de recours est tenue de taxer les frais même lorsque le justiciable est au bénéfice d'une défense d'office (arrêts du Tribunal fédéral 1B_372/2014 du 8 avril 2015 consid. 4.6 et 1B_203/2011 du 18 mai 2011 consid. 4).</w:t>
      </w:r>
    </w:p>
    <w:p>
      <w:r>
        <w:rPr>
          <w:b/>
        </w:rPr>
        <w:t>E. 4</w:t>
      </w:r>
    </w:p>
    <w:p>
      <w:r>
        <w:t>Il n'y a pas lieu d'indemniser, à ce stade ( cf. art. 135 al. 2 CPP), l'avocat d'office de la recourante, la procédure n'étant pas terminée.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