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P/14788/2022 vom 22. Dezember 2023</w:t>
      </w:r>
    </w:p>
    <w:p>
      <w:r>
        <w:t>GE Cour de justice, 2023-12-22, FR</w:t>
      </w:r>
    </w:p>
    <w:p>
      <w:r>
        <w:rPr>
          <w:b/>
        </w:rPr>
        <w:t xml:space="preserve">Quelle: </w:t>
      </w:r>
      <w:r>
        <w:t>https://mcp.opencaselaw.ch/entscheid/ge_gerichte_P_14788_2022</w:t>
      </w:r>
    </w:p>
    <w:p>
      <w:r>
        <w:t>FR: GE_GERICHTE P/14788/2022 du 22 décembre 2023</w:t>
      </w:r>
    </w:p>
    <w:p>
      <w:r>
        <w:t>IT: GE_GERICHTE P/14788/2022 del 22 dicembre 2023</w:t>
      </w:r>
    </w:p>
    <w:p>
      <w:pPr>
        <w:pStyle w:val="Heading2"/>
      </w:pPr>
      <w:r>
        <w:t>Regeste</w:t>
      </w:r>
    </w:p>
    <w:p>
      <w:r>
        <w:t>CP.111</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111 CP réprime le comportement de quiconque tue intentionnellement une personne, tandis que l’art. 122 CP sanctionne quiconque, intentionnellement, blesse une personne de façon à mettre sa vie en danger, mutile le corps d’une personne, un de ses membres ou un de ses organes importants, cause à une personne une incapacité de travail, une infirmité ou une maladie mentale permanentes, ou défigure une personne d’une façon grave et permanente ou lui fait subir toute autre atteinte grave à l’intégrité corporelle ou à la santé physique ou mentale. L’art. 123 CP s’applique pour sa part aux autres atteintes à l’intégrité corporelle ou à la santé.</w:t>
      </w:r>
    </w:p>
    <w:p>
      <w:r>
        <w:rPr>
          <w:b/>
        </w:rPr>
        <w:t>E. 2.3</w:t>
      </w:r>
    </w:p>
    <w:p>
      <w:r>
        <w:t>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On peut retenir l'intention homicide lors d'un unique coup de couteau sur le haut du corps de la victime (arrêts du Tribunal fédéral 6B_135/2020 du 16 juin 2020 consid. 4.2 ;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(cf. arrêts du Tribunal fédéral 6B_900/2022 du 22 mai 2023, consid. 2.4 non publié aux ATF 149 IV 266 ; 6B_798/2020 du 16 septembre 2020 consid. 3 ; 6B_230/2012 du 18 septembre 2012 consid. 2.3). Dans le cas d'un coup de couteau dans le haut du corps, le risque de mort, même avec une lame plutôt courte, doit être considéré comme élevé (arrêts du Tribunal fédéral 6B_798/2020 susmentionné consid. 3, tentative de meurtre admise pour un coup dans la poitrine avec couteau un couteau de poche dont la lame mesurait six cm ; 6B_239/2009 du 13 juillet 2009 consid. 1 et 2.4, meurtre par dol éventuel retenu avec un couteau dont la lame mesurait 41 millimètres). Selon sa nature, un seul coup porté peut suffire pour retenir l'infraction de tentative d'homicide par dol éventuel (arrêts du Tribunal fédéral 6B_924/2017 du 14 mars 2018 consid. 1.4.2 ; 6B_246/2012 du 10 juillet 2012 consid. 1.3 ; 6B_829/2010 du 28 février 2011 consid. 3.2). 2.4.1. En l’espèce, l’appelant affirme n’avoir frappé la victime qu’à une reprise (ce qui est médicalement établi), à l’issue de la course poursuite entre le lieu où ils avaient passé la soirée et l’établissement public où celle-ci s’est réfugiée. Cette version est toutefois en contradiction claire avec les images de vidéosurveillance : un visionnement attentif, image par image, démontre qu’au seul moment où l’appelant a potentiellement pu entrer en contact avec la victime, son bras droit était en retrait, alors qu’il a admis que c’est dans cette main qu’il tenait le couteau. Comme les premiers juges, la CPAR retient dès lors que c’est bien à proximité de l’immeuble sis no. ______ rue 1______ que le coup de couteau a été porté, et que les images figurant à la procédure montrent l’appelant qui poursuit sa victime, couteau à la main (celui-ci n’apparaît pas distinctement sur les images ; l’appelant admet néanmoins qu’il l’avait et qu’il a ensuite été le dissimuler, ce que confirme un témoin). En particulier, il n’est ni surprenant, ni contradictoire, compte tenu de la nature constatée de la lésion (aux conséquences finalement relativement bénignes, étant rappelé que la victime a pu sortir des urgences le lendemain sans qu’aucune intervention n’ait été nécessaire) et de la montée d’adrénaline qu’une telle altercation occasionne, que le blessé ait trouvé la force de courir les quelques dizaines de mètres séparant le no. ______ rue 1______ de l’établissement public. Il n’y a ainsi pas de place pour l’application du principe in dubio pro reo, la CPAR n’ayant pas de doute à ce sujet. Pour le surplus, comme les premiers juges, la Cour retient que l’altercation a été provoquée par le jet d’un marteau par la victime en direction de l’appelant, dans l’appartement sis au rez-de-chaussée de l’immeuble. 2.4.2. L’appelant conteste toute intention homicide. Il admet néanmoins s’être emparé d’un couteau de cuisine de grande taille, et l’avoir utilisé pour porter un coup dans le thorax de la victime. L’appelant était sans doute énervé par l’altercation et le jet de marteau dans sa direction ; néanmoins, sa réaction n’a pas été immédiate (ce qui exclut toute légitime défense, laquelle n’est d’ailleurs pas plaidée) ou sous le coup de la surprise ; il a pris le temps de se rendre dans la cuisine pour s’y emparer d’un couteau avant de retrouver sa future victime. Surtout, l’appelant, qui se prévaut de sa formation de brancardier, est adulte et a une expérience certaine de la vie au vu de son âge : il ne peut sérieusement soutenir qu’il ignorait que diriger un couteau muni d’une lame aussi longue vers le thorax d’une autre personne, dans le contexte d’une agression dynamique où les protagonistes sont en mouvement, est susceptible d’entraîner des lésions mortelles. Il a ce nonobstant pris le risque d’un tel geste, sous le coup de la colère, et en toute connaissance de cause. Comme l’ont souligné les légistes, la victime (et, partant, l’appelant) a eu beaucoup de chance et aurait pu succomber à ce coup s’il avait été porté avec un angle un tout petit peu différent. Cette circonstance échappait à l’appelant, qui n’avait aucun moyen de savoir quels organes seraient ou non atteints par son geste, d’une grande violence (étant rappelé que la plaie présentait une profondeur de 15 cm). Les faits doivent être qualifiés de tentative de meurtre, commis par dol éventuel, et le verdict des premiers juges doit ainsi être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Selon l'art. 22 CP, le juge peut atténuer la peine si l'exécution d'un crime ou d'un délit n'est pas poursuivie jusqu'à son terme.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La mesure de l'atténuation dépend de la proximité du résultat ainsi que des conséquences effectives des actes commis. En d'autres termes, la réduction devra être d'autant plus faible que le résultat était proche et ses conséquences graves (ATF 127 IV 101 consid. 2b ; arrêt du Tribunal fédéral 6B_718/2017 du 17 janvier 2018 consid. 3.1).</w:t>
      </w:r>
    </w:p>
    <w:p>
      <w:r>
        <w:rPr>
          <w:b/>
        </w:rPr>
        <w:t>E. 3.3</w:t>
      </w:r>
    </w:p>
    <w:p>
      <w:r>
        <w:t>En l’espèce, l’appelant s’en est pris à la vie de sa victime, bien le plus précieux de l’ordre juridique. Il a agi pour un motif futile et dérisoire, par colère, voire par vengeance, à la suite d’une altercation dont l’origine, quelle qu’elle soit, ne justifiait pas un tel recours à la violence. Le jet d’un marteau dans sa direction l’a certainement énervé, voire motivé à se défendre ; il ne s’est toutefois pas contenté d’une mise en garde ou d’un geste de protection, mais a porté un coup dans la poitrine de son adversaire avant de le poursuivre sur plusieurs dizaines de mètres, couteau à la main. Son mobile est fondamentalement égoïste. S’il est, certes, revenu peu après les faits vers la victime et a fait garrot de sa main sur la plaie, il ne l’a fait qu’après avoir pris soin de dissimuler son arme et il ne s’agit donc pas d’un geste spontané et immédiat. Il ne peut pas être exclu qu’il ait agi de la sorte pour éviter que la victime ne le dénonce, ce qui a d’ailleurs partiellement réussi puisqu’elle l’a initialement mis hors de cause. Ce geste à visée salvatrice n’exclut ainsi pas l’intention homicide initiale mais tempère la faute ; il doit être pris en compte dans la fixation de la peine, sans qu’il ne puisse, faute d’intensité suffisante et d’immédiateté, être qualifié de repentir sincère (circonstance atténuante qui n’est d’ailleurs pas plaidée). L’absence d’immédiateté exclut également tout repentir actif au sens de l’art. 23 CP. La situation personnelle de l’appelant n'explique en rien l'acte commis. Père de famille, il se trouvait certes dans une situation précaire, n’ayant plus de titre de séjour ni d’emploi ; il bénéficiait néanmoins de soutien et de l'aide de sa compagne et de sa famille. L’appelant a plusieurs antécédents, dont l’un au moins est spécifique ; il n’a pas tiré de leçons de ses condamnations précédentes, dont certaines l’ont pourtant conduit à subir de la privation de liberté. La gravité des faits et de la faute commise excluent le prononcé d’une peine compatible avec le sursis. L’appelant a exprimé des excuses, dont la sincérité n’a pas à être mise en doute, et acquiescé aux conclusions civiles. Cela étant, il persiste à minimiser son geste en contestant toute intention homicide ; sa prise de conscience n’est ainsi que partielle. Il minimise également ses antécédents de lésions corporelles, ce qui fait craindre qu’il n’ait pas pris la mesure de la nécessité de mieux gérer ses émotions et ses impulsions pour s’abstenir à l’avenir de tout recours à la violence. Sa collaboration a été mauvaise. Il a nié les faits pendant de longs mois, avant de finalement admettre sa faute, en présentant une version édulcorée des événements, à la toute fin de l’instruction et alors que les éléments à charge étaient déjà confondants et ne lui laissaient guère d’autre option. Ses projets d’avenir sont peu concrets. Il veut s’occuper de ses enfants, qui étaient déjà au monde lorsque les faits se sont produits : son rôle de père ne l’a manifestement pas empêché de s’en prendre à la vie d’autrui. Il n’avait aucun emploi ni source de revenu au moment de son arrestation et, s’il travaille en prison et fait bénéficier sa nouvelle famille de ces revenus, il a préféré s’acquitter d’amendes plutôt que de contribuer à l’entretien de ses autres enfants mineurs. Le meurtre est passible d’une peine privative de liberté de cinq à vingt ans. En l’espèce, si l’infraction avait été consommée, la peine encourue se serait située dans le milieu de cette fourchette. Les faits ont toutefois connu une issue heureuse, qui conduit à ne retenir qu’une tentative d’homicide et à l’application de l’atténuante prévue à l’art. 22 CP. Cette atténuation devrait être faible, l’absence de résultat de l’infraction découlant plus de la chance et du hasard que d’une exécution imparfaite. Les conséquences finalement relativement bénignes de l’acte seront prises en compte dans l’appréciation. Tout bien pesé, au vu de la gravité de la faute, de la peine clémente requise par le MP, ainsi que des gestes par lesquels l’appelant a cherché à porter secours à sa victime, la CPAR retient qu’une peine privative de liberté de quatre ans, certes clémente, sanctionne adéquatement l’infraction commise. L’appel joint du MP doit donc être admis et le jugement entrepris réformé en ce sens.</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4.2</w:t>
      </w:r>
    </w:p>
    <w:p>
      <w:r>
        <w:t>Malgré la formulation potestative de la norme, le juge de l'expulsion est tenu d'examiner lui-même, au stade du prononcé de l'expulsion déjà, si les conditions de l'art. 66a al. 2 CP sont réalisées et de renoncer à ordonner l'expulsion dans cette hypothèse. Il ne peut renvoyer à l'autorité d'exécution l'examen de toutes les circonstances qui s'opposent à cette mesure (ATF 147 IV 453 consid. 1.4.5 ; 145 IV 455 consid. 9.4 ; 144 IV 332 consid. 3.3 ; arrêts du Tribunal fédéral 6B_747/2019 du 24 juin 2020 consid. 2.1.2 ; 6B_1024/2019 du 29 janvier 2020 consid. 1.3.5).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Un séjour légal de dix années suppose en principe une bonne intégration de l'étranger (ATF 144 I 266 consid. 3.9 ; arrêt du Tribunal fédéral 6B_1431/2019 du 12 février 2020 consid. 1.3.1).</w:t>
      </w:r>
    </w:p>
    <w:p>
      <w:r>
        <w:rPr>
          <w:b/>
        </w:rPr>
        <w:t>E. 4.3</w:t>
      </w:r>
    </w:p>
    <w:p>
      <w:r>
        <w:t>Un étranger peut se prévaloir de l'art. 8 par. 1 de la Convention de sauvegarde des droits de l’homme (CEDH) (et de l'art. 13 de la Constitution fédérale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Il n'y a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consid. 6.5 ; 6B_257/2022 consid. 3.3 ; 6B_38/2021 du 14 février 2022 consid. 5.1.2). En l'absence de ménage commun avec son enfant et de relations personnelles entretenues de manière régulière, la seule présence en Suisse de l'enfant du condamné ne fait pas obstacle à l'expulsion (arrêts du Tribunal fédéral 6B_435/2023 du 21 juin 2023 consid. 5.2 ; 6B_822/2021 du 4 juillet 2022 consid. 2.1.1).</w:t>
      </w:r>
    </w:p>
    <w:p>
      <w:r>
        <w:rPr>
          <w:b/>
        </w:rPr>
        <w:t>E. 4.4</w:t>
      </w:r>
    </w:p>
    <w:p>
      <w:r>
        <w:t>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Cette disposition n'exige pas une condamnation à une peine privative de liberté d'au moins un an, pas plus que la disposition n'exige une condamnation pour une infraction passible d'une peine privative de liberté minimale d'un an. À cet égard, il suffit que l'infraction correspondante prévoie une peine privative de liberté "plafond" d'un an ou plus. Toutefois, à titre d'exigence cumulative, il faut toujours examiner si la personne concernée représente une menace pour la sécurité publique ou l'ordre public (art. 24, par. 2, Règlement-SIS-II).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(ATF 147 IV 340 consid. 4.4-4.8).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(ATF 147 IV 340 consid. 4.8). L’octroi d'une autorisation de séjour dans un État membre de l’espace SCHENGEN est possible pour une personne faisant l'objet d'une inscription SIS ; si l'autorisation est délivrée, l'inscription de l'expulsion au SIS doit par conséquent être radiée, ce qui peut cas échéant intervenir après le jugement ordonnant ladite inscription. Le fait qu’une personne est au bénéfice d'une telle autorisation ne fait d’ailleurs pas obstacle à l'inscription, laquelle doit alors susciter une consultation entre l'État qui a délivré l'autorisation et celui qui inscrit l'expulsion. Si l'État qui a octroyé l'autorisation de séjour la maintient, l'inscription doit aussi être radiée (arrêt du Tribunal fédéral 6B_834/2021 du 5 mai 2022). 4.5.1. En l’espèce, l’appelant ne bénéficie d’aucun titre de séjour en Suisse, pays dans lequel il a vécu depuis 2006, mais n’a bénéficié d’une autorisation qu’entre 2015 et 2021. Son séjour dans notre pays s’est ainsi déroulé, pour l’essentiel, en marge de la loi. Il n’a plus d’emploi, ne gagnait pas sa vie au moment de son arrestation et vivait d’expédients et du soutien de ses proches. Il n’a plus de contact avec son fils aîné, lequel est bientôt majeur et avec lequel il n’a pour ainsi dire jamais formé de communauté de vie. L’appelant peut en revanche se prévaloir de sa relation avec ses filles, qui disposent d’un titre de séjour en Suisse. Cela étant, lors de son arrestation il ne vivait plus avec l’aînée, âgée de neuf ans, et cette relation – qui peut se maintenir par le biais des moyens de communication modernes, l’enfant pouvant d’ailleurs rendre visite à son père à l’étranger – ne fait donc pas obstacle à l’expulsion, faute de vie commune. En ce qui concerne la plus jeune fille de l’appelant, qui vivait avec elle et sa mère lors de son arrestation, on peut attendre de celles-ci, au vu de leur nationalité et de l’âge de la fillette, qu’elles accompagnent l’appelant en cas d’expulsion. Il n’est pas établi qu’elles auraient des liens étroits avec la Suisse – l’appelant ne le fait en tout cas pas valoir – et il est facile pour une enfant d’âge non scolaire de s’intégrer dans le lieu de vie de ses parents, quel qu’il soit. Les liens de l’appelant avec la Suisse n’ont ainsi pas une intensité suffisante pour retenir la réalisation d’une situation personnelle grave. 4.5.2. En tout état de cause, même s’il fallait retenir que la première condition de l’art. 66a al. 2 CP était réalisée, l’intérêt public à l’expulsion devrait prévaloir sur les intérêts privés de l’appelant, dès lors qu'il a commis une tentative de meurtre, s’en prenant au bien juridique le plus précieux. La peine privative de liberté de quatre ans dépasse largement une année, ce qui aurait, cas échéant, conduit à la révocation de son autorisation de séjour sur la base de l'art. 62 al. 1 let. b LEI, si elle avait encore été valable (cf. ATF 139 I 145 consid. 2.1, selon lequel constitue une " peine privative de liberté de longue durée " au sens de l'art. 62 al. 1 let. b LEtr [depuis le 1er janvier 2019 : LEI] toute peine dépassant un an d'emprisonnement). Sa dangerosité est manifeste. L’appelant est mal intégré en Suisse, puisqu’il n’a bénéficié que pendant quelques années d’une autorisation de séjour, dont le renouvellement a été définitivement refusé au plus tard en 2021, ne travaillait plus depuis plusieurs mois lors de son arrestation et ne disposait pas de son propre logement. Son cercle social se résume à sa famille et il ne fait état d’aucune activité associative ou bénévole. Il n’a plus de contact avec son fils aîné. Son intérêt privé à pouvoir demeurer en Suisse – où il ne bénéficie d’aucun droit de séjour – est ainsi restreint, et a déjà été nié puisque l’autorisation dont il avait bénéficié a été définitivement révoquée. Certes, l’appelant invoque l’absence de liens avec son pays d’origine, qu’il dit avoir quitté à l’âge de quatre ans. Il est néanmoins encore en lien avec son père, qui vit sur place, n’a pas de problème de langue et ses perspectives d’intégration socio-professionnelle n’y sont donc pas plus mauvaises qu’en Suisse où, faute d’une quelconque autorisation, il n’en a aucune. 4.5.3. Les premiers juges ont renoncé à ordonner l’inscription de l’expulsion au SIS, en raison de ses liens avec la France et pour ne pas prétériter à l'excès ses relations avec ses enfants. Cela étant, les conditions d’une telle inscription sont manifestement réalisées ; il s’agit d’une affaire importante entrant typiquement dans les critères de cette inscription. L’appelant ne fait en particulier pas valoir qu’il disposerait actuellement encore d’un titre de séjour valable pour ce pays. Même si tel devait être le cas, il importerait que cet État soit informé de la nature des faits commis en Suisse, afin de pouvoir le cas échéant décider en toute connaissance de cause. L’inscription de l’expulsion au SIS doit en conséquence être ordonnée. L’appel joint du MP doit donc également être accepté sur ce point.</w:t>
      </w:r>
    </w:p>
    <w:p>
      <w:r>
        <w:rPr>
          <w:b/>
        </w:rPr>
        <w:t>E. 5</w:t>
      </w:r>
    </w:p>
    <w:p>
      <w:r>
        <w:t>L'appel joint ayant été admis, l'appelant, qui succombe, supportera les frais de la procédure envers l'État (art. 428 CPP).</w:t>
      </w:r>
    </w:p>
    <w:p>
      <w:r>
        <w:rPr>
          <w:b/>
        </w:rPr>
        <w:t>E. 6</w:t>
      </w:r>
    </w:p>
    <w:p>
      <w:r>
        <w:t>6.1. À défaut d’état de frais de M e C______, défenseur d'office, la CPAR déterminera son indemnisation sur la base des éléments du dossier. La prise de connaissance de la procédure et la préparation de l’audience seront indemnisées à raison de cinq heures ; s’y ajouteront trois entretiens avec le mandant détenu (4h30) et la durée des débats d’appel (3h15), soit 12h45 d’activité à CHF 200.-/heure (CHF 2'550.-), le forfait de 20% (CHF 510.-), une vacation à CHF 100.- et la TVA au taux de 7.7 % (CHF 243.30) pour un total de CHF 3'403.30.</w:t>
      </w:r>
    </w:p>
    <w:p>
      <w:r>
        <w:rPr>
          <w:b/>
        </w:rPr>
        <w:t>E. 6.2</w:t>
      </w:r>
    </w:p>
    <w:p>
      <w:r>
        <w:t>Considéré globalement, l'état de frais produit par M e E______, conseil juridique gratuit de D______, satisfait les exigences légales et jurisprudentielles régissant l'assistance judiciaire gratuite en matière pénale. La rémunération de M e E______ sera partant arrêtée à CHF 454.15 correspondant à 1h55 heures d'activité au tarif de CHF 200.-/heure plus la majoration forfaitaire de 10% et l'équivalent de la TVA au taux de 7.7% en CHF 32.45.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