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P/14768/2013 vom 2. März 2015</w:t>
      </w:r>
    </w:p>
    <w:p>
      <w:r>
        <w:t>GE Cour de justice, 2015-03-02, FR</w:t>
      </w:r>
    </w:p>
    <w:p>
      <w:r>
        <w:rPr>
          <w:b/>
        </w:rPr>
        <w:t xml:space="preserve">Quelle: </w:t>
      </w:r>
      <w:r>
        <w:t>https://mcp.opencaselaw.ch/entscheid/ge_gerichte_P_14768_2013</w:t>
      </w:r>
    </w:p>
    <w:p>
      <w:r>
        <w:t>FR: GE_GERICHTE P/14768/2013 du 2 mars 2015</w:t>
      </w:r>
    </w:p>
    <w:p>
      <w:r>
        <w:t>IT: GE_GERICHTE P/14768/2013 del 2 marzo 2015</w:t>
      </w:r>
    </w:p>
    <w:p>
      <w:pPr>
        <w:pStyle w:val="Heading2"/>
      </w:pPr>
      <w:r>
        <w:t>Regeste</w:t>
      </w:r>
    </w:p>
    <w:p>
      <w:r>
        <w:t>BRIGANDAGE; NE BIS IN IDEM; TORT MORAL; IN DUBIO PRO REO; PRÉSOMPTION D'INNOCENCE | CP.140; CP.47; CP.49.2; CPP.10.3; CPP.11; CO.47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Selon l'article 140 al.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Celui qui, pris en flagrant délit de vol, aura commis un des actes de contrainte mentionnés à l'al. 1 dans le but de garder la chose volée encourra la même peine (art. 140 al. 1, 2 e phrase CP).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défend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par exemple en exhibant une arme (B. CORBOZ, Les infractions en droit suisse , vol. I, 3e éd., Berne 2010, n. 6 ad art. 140 p. 261). Il importe peu que la victime ait été mise dans l’incapacité de se défendre; il suffit que l’auteur ait recouru aux moyens indiqués et que le vol ait été consommé (ATF 133 IV 207 consid. 4.3.1 ; arrêt du Tribunal fédéral 6B_356/2012 du 1 er octobre 2012 consid. 1.2.1). Il convient d’établir le rapport de cause à effet entre la violence, la mise hors d’état de résister et le vol (ATF 107 IV 107 consid. 3c). Selon la jurisprudence antérieure à la modification du Code pénal, il n'y a pas de brigandage dans le cas où les violences commises n'ont aucun rapport avec l'atteinte à la propriété ; ce lien manque ainsi lorsque l'auteur recourt à la violence dans le seul but d'assurer sa fuite (ATF 92 IV 153 consid. 1). Ces notions ont été reprises dans l'élaboration du droit actuel : le délinquant qui exerce une contrainte sur une tierce personne, après et non avant la commission d'un vol, ne remplit les éléments constitutifs du brigandage que s'il agit ainsi pour conserver le butin du vol et non simplement pour protéger sa fuite en abandonnant le butin (Message concernant la modification du code pénal suisse et du code pénal militaire du 24 avril 1991, FF 1991 II 933 ss, p. 973). Il ressort de ce qui précède que le voleur qui use de violence pour protéger sa fuite, en abandonnant son butin, ne se rend pas coupable de brigandage, tandis que celui qui, pris en flagrant délit, commet un acte de contrainte après le vol, pour fuir tout en conservant la chose volée, réalise les conditions de l'art. 140 CP (B. CORBOZ, op. cit. , n. 8 ad art. 140 p. 261 ; S. TRECHSEL / M. PIETH (éd.), Schweizerisches Strafgesetzbuch : Praxiskommentar , 2e éd., Zurich 2012, n. 12 ad art. 140).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 n. 10 et 11 ad art. 140 p. 262).</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3.3</w:t>
      </w:r>
    </w:p>
    <w:p>
      <w:r>
        <w:t>En l'espèce, la CPAR tient pour établi que les faits se sont déroulés comme le soutient la partie plaignante. En effet, ses déclarations sont crédibles et constantes. Elles sont également précises, l'intimé C______ décrivant notamment comment l'appelant a sorti puis ouvert son couteau avec ses dents et sa main droite, ce qui est étonnant, se blessant et faisant ainsi gicler du sang contre les murs du lieu de l'agression et sur la manche gauche du plaignant. Ce récit est corroboré par les constats du CURML, le profil ADN de l'appelant ayant été mis en évidence sur lesdits murs et sur la manche gauche du pull d'C______. La présence de deux voleurs est également crédible, le vol à l'astuce mettant en scène un acte mimé de football exercé par deux comparses sur leur victime étant au demeurant une technique connue. Enfin, le plaignant n'avait aucun intérêt à inventer l'existence d'un deuxième auteur. Les déclarations de l'appelant, au contraire, ont constamment varié, ce dernier alléguant au surplus une amnésie partielle lorsque cela l'arrangeait. Il a d'abord déclaré n'avoir jamais fait l'objet d'une agression ni agressé quiconque à Genève, puis, confronté à la présence de son profil ADN sur les vêtements du plaignant, a soutenu qu'il avait pu être blessé en essayant de séparer deux personnes qui se battaient, puis encore que le plaignant l'aurait attaqué le premier. Il a allégué ne jamais porter de couteau sur lui alors que, vingt-quatre heures après les faits, la police lui avait confisqué un couteau ensanglanté, allant jusqu'à prétendre qu'il se serait défendu du plaignant avec un coupe-ongle. Il a également argué avoir été suivi par un psychiatre en Italie, qui lui aurait diagnostiqué une maladie susceptible d'expliquer son manque de souvenirs de l'agression litigieuse, puis a spontanément confié au psychiatre en charge de l'expertise du 23 mai 2014 qu'il n'avait jamais été suivi sur le plan psychiatrique. Il est ainsi établi que l'appelant et son comparse se sont emparés du portefeuille et du téléphone portable du plaignant, ce dernier s'en étant rendu compte, ayant couru après ses voleurs, rattrapé l'appelant, lequel s'est opposé par la force en sortant son couteau puis en l'ouvrant pour faire fuir le plaignant. L'appelant a ensuite poursuivi C______ sur quelques mètres et lui a asséné plusieurs coups de couteau au niveau du visage, certains ayant provoqué les cicatrices dont il souffre encore à ce jour, et d'autres ayant été déviées sur son bras et son épaule gauche. Reste à établir si les voleurs étaient encore en possession des valeurs du plaignant lorsqu'ils ont fui ce dernier. Le porte-monnaie d'C______ a été retrouvé, vide de toute espèce alors qu'il contenait CHF 40.-, à hauteur du 37, rue D______, tandis que l'agression a eu lieu devant l'allée du 28bis, rue D______ et que la voiture du plaignant était parquée à hauteur du 29, rue I______. La CPAR retiendra ainsi que l'appelant et son comparse se sont emparés de ces valeurs devant le véhicule du plaignant sur la rue I______. Ils ont ensuite été poursuivis sur la rue K______ ou sur la rue parallèle L______, en direction de la rue D______, l'appelant ayant à tout le moins été rattrapé à la hauteur du 28bis, rue D______, lieu de l'agression. Après avoir été agressé, le plaignant a titubé en direction du 25, rue D______, dans le sens opposé du lieu où son porte-monnaie a été découvert. Il est ainsi établi qu'au moment de leur fuite, l'appelant et son comparse détenaient toujours le porte-monnaie de la victime, qu'ils n'ont abandonné que plus loin, au 37, rue D______. La présence dudit porte-monnaie sur le chemin de fuite des voleurs ne peut s'expliquer que de cette façon. Par ailleurs, ces derniers étaient également en possession du téléphone portable du plaignant, qui n'a jamais été retrouvé. Sur le plan juridique, il y a lieu de retenir que l'appelant et son comparse ont sciemment soustrait le téléphone portable et le porte-monnaie du plaignant, dans le but évident de s'approprier ces valeurs afin de se procurer un enrichissement illégitime. Contrairement à ce qu'il soutient, il n'est pas nécessaire que l'appelant ait lui-même soustrait puis conservé le butin. Conformément à la jurisprudence précitée sur la notion de coauteur, il suffit que les comparses aient soustrait ces valeurs par action conjointe, cas échéant concertée par actes concluants. En amadouant le plaignant et en mimant une scène de football en faisant référence au joueur PLATINI, les voleurs se sont rapprochés du plaignant, l'un d'eux ayant distrait ce dernier tandis que l'autre lui dérobait ses valeurs. Peu importe de savoir qui, entre l'appelant et son acolyte, s'en est emparé. Ce faisant, tous deux ont réalisé les éléments constitutifs du vol en tant que coauteurs, le rôle de chacun étant indispensable à la commission de l'infraction. L'appelant n'est au demeurant pas crédible lorsqu'il soutient que seul son comparse se serait livré à l'acte délictueux, à son insu. En effet, sa réaction juste après les faits, consistant à fuir en voyant le plaignant qui le rattrapait, atteste qu'il était parfaitement conscient d'avoir volé ce dernier et qu'il n'a pas pu croire qu'il faisait l'objet d'une agression nécessitant qu'il se défende, ce d'autant que le plaignant lui demandait la restitution de ses affaires. Il n'avait aucune autre raison de fuir celui qui venait de lui offrir une cigarette et avec lequel il avait eu une interaction liée à la pratique du football. En opposant une résistance farouche au plaignant, puis en exhibant un couteau, l'appelant a menacé C______ d'un danger pour son intégrité corporelle. Le danger était d'autant plus imminent que l'appelant avait, à dessein, ouvert la lame du couteau, en faisant preuve d'une grande détermination, allant jusqu'à se blesser pour ce faire. Cet acte avait pour but de sécuriser le butin et doit donc être mis en rapport de cause à effet avec le vol qui venait de se produire. Comme s'agissant du vol, il n'est pas relevant de savoir si c'était l'appelant ou son comparse qui était en possession des valeurs du plaignant, dès lors que le vol avait été commis conjointement : soit A______ détenait le butin et a usé de violence pour le conserver, soit il n'était pas le possesseur des affaires du plaignant et il a usé de violence afin d'assurer la fuite de son acolyte, qui détenait lesdites valeurs, ce qui revient au même. L'argument selon lequel l'appelant se serait défendu afin de prendre la fuite, en abandonnant le butin, tombe donc également à faux. En effet, au moment de leur fuite, il y a lieu d'admettre que les voleurs détenaient le téléphone portable du plaignant, qui n'a pas pu être retrouvé. En outre, ce n'est qu'à hauteur du 37, rue D______ que le porte-monnaie du plaignant, au demeurant vidé de ses espèces, a été retrouvé, de sorte qu'il n'a pu être abandonné qu'après l'agression et non avant, au moment de la fuite des voleurs. L'appelant a ainsi agi avec conscience et volonté, réalisant l'élément subjectif de l'infraction. Au vu de ce qui précède, le verdict de culpabilité de brigandage prononcé par les premiers juges pour les faits visés sous chiffre B.I de l'acte d'accusation doit être confirmé.</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4.2</w:t>
      </w:r>
    </w:p>
    <w:p>
      <w:r>
        <w:t>Le principe ne bis in idem est ancré dans la Constitution fédérale du 18 avril 1999 (Cst. ; RS 101 ; art. 8 al. 1 Cst.) ainsi qu'à l'art. 4 al. 1 du Protocole n° 7 du 22 novembre 1984 à la Convention de sauvegarde des droits de l'homme et des libertés fondamentales (RS 0.101.07) et à l'art. 14 al. 7 du Pacte international du 16 décembre 1966 relatif aux droits civils et politiques (RS 0.103.2). Il figure également à l'art. 11 al. 1 CPP.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w:t>
      </w:r>
    </w:p>
    <w:p>
      <w:r>
        <w:rPr>
          <w:b/>
        </w:rPr>
        <w:t>E. 4.3</w:t>
      </w:r>
    </w:p>
    <w:p>
      <w:r>
        <w:t>En l'espèce, la faute de l'appelant est lourde. Il a porté atteinte à l'intégrité corporelle du plaignant. Ses actes ont eu de graves conséquences, la victime ayant été défigurée et souffrant de séquelles importantes. Le mobile de l'appelant est futile et égoïste. Il n'a pas hésité à causer un préjudice conséquent pour réaliser de menus gains, dénotant un mépris caractérisé pour l'intégrité d'autrui. La façon d'agir est cruelle, l'appelant, non content d'avoir mis C______ en fuite afin de conserver son butin, ayant encore poursuivi ce dernier afin de lui porter plusieurs coups de couteau au niveau du visage, faisant ainsi preuve d'une grande détermination. A______ a constamment minimisé ses actes et n'a pas fait preuve de réels remords, allant jusqu'à prétendre s'être servi d'un coupe-ongle pour se défendre du plaignant, alors que son couteau, encore ensanglanté, avait été saisi par la police vingt-quatre heures après les faits litigieux. Sa collaboration à la procédure a été mauvaise. Il a commencé par nier toute implication dans le brigandage commis au préjudice du plaignant C______. Confronté à la réalité du dossier, son attitude a consisté à ne pas se souvenir des faits lorsque cela l'arrangeait, mais à alléguer divers arguments incohérents et peu crédibles lorsque cela pouvait le servir. Il y a également lieu de tenir compte du concours d'infractions avec les nombreuses infractions retenues en première instance et non-contestées en appel, soit les lésions corporelles graves (art. 122 al. 2 CP), l’omission de prêter secours (art. 128 CP), les vols et dommages à la propriété au préjudice d'autres plaignants (art. 139 al. 1 et 144 al. 1 CP), ainsi que les violations de la LTV et de la LEtr. S'agissant de l'infraction à la LEtr, il convient de réduire de sept jours la période pénale retenue par les premiers juges, en application du principe ne bis in idem . En effet, une infraction pour séjour illégal ne se conçoit qu'à compter du 26 septembre 2013, la période antérieure, entre le 18 et le 25 septembre 2013, ayant déjà été sanctionnée par l'ordonnance du Ministère public du 26 septembre 2013. Enfin, l'appelant présente deux antécédents pour des affaires de vol, ce qui suggère une tendance à adopter un mode de vie délictueux. Sa situation personnelle ne comporte pas de particularité susceptible d'influer sur la peine. Il ressort de l'expertise que la responsabilité de l'appelant n'était pas diminuée au moment d'agir, que cela soit en relation avec une consommation d'alcool et/ou de médicaments. L'expert a d'ailleurs précisé que la dépendance de l'appelant aux benzodiazépines était liée au traitement qu'il suivait à la prison de Champ-Dollon. Au demeurant, aucun élément de la procédure ne permet de retenir une diminution de la faute de l'appelant par suite de la consommation d'alcool ou de médicaments. Au vu de ce qui précède, la peine retenue par le Tribunal correctionnel, de trois ans et six mois, est adéquate. Elle doit toutefois être déclarée partiellement complémentaire à celle prononcée le 26 septembre 2013 par le Ministère public (art. 49 al. 2 CP), pour des infractions commises la veille, le 25 septembre 2013, ainsi que pour infractions à la LEtr. Si la CPAR avait eu à connaître de ces faits, une peine de quarante-cinq mois aurait été justifiée. Compte tenu des cinq mois correspondant à la peine prononcée le 26 septembre 2013 et qui doivent en être déduits, il y a lieu de retenir une peine de quarante mois, soit trois ans et quatre mois. Par conséquent, la CPAR réduira la quotité de la peine de deux mois. Le jugement attaqué sera réformé sur ce point. Vu la quotité de la peine, la question du sursis partiel, plaidée par l'appelant, ne se pose pas (art. 43 CP).</w:t>
      </w:r>
    </w:p>
    <w:p>
      <w:r>
        <w:rPr>
          <w:b/>
        </w:rPr>
        <w:t>E. 5</w:t>
      </w:r>
    </w:p>
    <w:p>
      <w:r>
        <w:t>5.1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et les répercussions sociales et psychiques, telles que l'isolation sociale due à une défiguration (HÜTTE / DUCKSCH / GROSS / GUERRERO, Le tort moral, une présentation synoptique de jurisprudence , 3 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Une indemnité pour tort moral de CHF 10'000.- a ainsi été prononcée par la CPAR en faveur d'une jeune femme d'une vingtaine d'année percutée par un véhicule, souffrant de séquelles aux jambes ayant pour effet qu'elle ne pouvait plus porter de talons et qu'elle gardait des cicatrices des interventions chirurgicales subies ainsi que, au moment du jugement, une excroissance au niveau de la cuisse, atteintes esthétiques qui sont difficiles à supporter pour une jeune femme (arrêt de la CPAR AARP/22/2015 du 12 janvier 2015 consid. 6.2). Une indemnité pour tort moral de CHF 15'000.- a été prononcée en faveur d'un jeune homme agressé au couteau et blessé aux jambes, lesdites blessures ayant nécessité des points de suture, une intervention chirurgicale et entraîné des cicatrices, une paralysie partielle du pied pendant la convalescence, d'intenses douleurs puis une gêne marquée dans la pratique d'un sport, la pratique du football ou de la course à pied étant en sus rendue impossible (arrêt de la CPAR AARP/254/2012 du 22 août 2012 consid. 5.2). En-dehors de Genève, des indemnités pour tort moral de CHF 10'000.- ont été versées à celui dont l'épaule droite avait été cassée lors d'un vol à l'arraché, ou à celui qui avait eu une grande peur de mourir dans le cadre d'un brigandage (HÜTTE / DUCKSCH / GROSS / GUERRERO, op. cit. , VIII/32/1998 -2000/16d et VIII/31/1990 -2000/16a).</w:t>
      </w:r>
    </w:p>
    <w:p>
      <w:r>
        <w:rPr>
          <w:b/>
        </w:rPr>
        <w:t>E. 5.2</w:t>
      </w:r>
    </w:p>
    <w:p>
      <w:r>
        <w:t>En l'espèce, il est manifeste qu'une indemnité pour tort moral est due au plaignant, ce que l'appelant ne conteste d'ailleurs pas. Seul le montant de l'indemnité octroyée en première instance, à hauteur de CHF 12'000.-, fait l'objet de l'appel, A______ estimant qu'une indemnité de CHF 6'000.- serait plus appropriée. Comme le relevait le Tribunal correctionnel, l'agression litigieuse a entraîné une lourde atteinte à la personnalité du plaignant. Ce dernier porte des séquelles importantes au visage, en particulier deux plaies de cinq et huit centimètres de long, au niveau du front, respectivement de la joue gauche, constatées par les premiers juges et par l'expertise du 8 novembre 2013. Sur le plan psychique, C______ a beaucoup souffert de l'agression et continue à en souffrir sous la forme d'un état de stress post-traumatique (troubles du sommeil, anxiété, etc.). La somme de CHF 12'000.- retenue en première instance est raisonnable, notamment en comparaison des indemnités de CHF 10'000.- octroyées par les tribunaux dans des cas somme toute moins graves, les cicatrices d'C______, qui se trouvent sur son visage, étant autrement plus gênantes au quotidien, ce dernier souffrant en outre de douleurs au bras entraînant un handicap sur le plan sportif et professionnel. Il y a lieu de tenir compte des circonstances du cas d'espèce. A cet égard, la CPAR retient la brutalité particulière de l'acte de l'appelant, qui a poursuivi le plaignant après l'avoir mis en fuite, alors que cela ne présentait plus aucune utilité pour la commission du brigandage, afin de lui infliger de multiples coups de couteau au niveau du visage. Les répercussions sociales pour C______ doivent également être relevées. Sur le plan professionnel, les cicatrices qu'il porte sur son visage sont gênantes vis-à-vis de ses patients. Sur le plan privé, elles sont la cause d'une isolation sociale. Ces souffrances sont par ailleurs appelées à durer, compte tenu du relatif jeune âge du plaignant, qui avait 26 ans au moment des faits. Les circonstances du cas d'espèce font que l'allocation d'une indemnité totale de CHF 12'000.- au titre du tort moral est tout à fait conforme à la jurisprudence rendue en la matière. Partant, le jugement attaqué sera confirmé sur ce point.</w:t>
      </w:r>
    </w:p>
    <w:p>
      <w:r>
        <w:rPr>
          <w:b/>
        </w:rPr>
        <w:t>E. 6</w:t>
      </w:r>
    </w:p>
    <w:p>
      <w:r>
        <w:t>Le maintien de l'appelant en détention pour des motifs de sûreté a été ordonné par décision séparée.</w:t>
      </w:r>
    </w:p>
    <w:p>
      <w:r>
        <w:rPr>
          <w:b/>
        </w:rPr>
        <w:t>E. 7</w:t>
      </w:r>
    </w:p>
    <w:p>
      <w:r>
        <w:t>L'appelant, qui succombe pour l'essentiel, supportera les trois quarts des frais de la procédure d'appel envers l'Etat, qui comprennent un émolument de jugement de CHF 2'500.- (art. 428 al. 1 CPP et art. 14 al. 1 let. e RTFMP). La part restante sera laissée à la charge de l'Etat.</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17 novembre 2014.</w:t>
      </w:r>
    </w:p>
    <w:p>
      <w:r>
        <w:rPr>
          <w:b/>
        </w:rPr>
        <w:t>E. 8.2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Les prestations de services fournies sur le territoire suisse par un avocat dans le cadre d'une défense d'office sont soumises à la TVA si l'avocat y est assujetti (arrêt du Tribunal fédéral 6B_638/2012 du 10 décembre 2012 consid. 3.7)</w:t>
      </w:r>
    </w:p>
    <w:p>
      <w:r>
        <w:rPr>
          <w:b/>
        </w:rPr>
        <w:t>E. 8.3</w:t>
      </w:r>
    </w:p>
    <w:p>
      <w:r>
        <w:t>En l'espèce, le Ministère public a désigné Me B______ défenseur d'office de l'appelant le 17 septembre 2014. À la lecture des postes de la note d'honoraires produite, il apparaît que la rédaction de la déclaration d'appel, correspondant à 30 minutes d'activité, est comprise dans le forfait relatif aux "démarches diverses", s'agissant de la rédaction d'un courrier, et doit par conséquent être retranchée. Pour le surplus, l'activité exercée par le défenseur d'office dans le cadre de la présente procédure d'appel est en adéquation avec la nature, l'importance et la difficulté de la cause. Il convient également d'y ajouter la durée de l'audience d'appel, arrêtée à 1 heure et 30 minutes. Ainsi, l'état de frais sera admis à concurrence de 7 heures et 15 minutes d'activité de chef d'étude, ce qui correspond à une indemnité de base de CHF 1'450.-. Dans la mesure où l’activité déployée en première instance en sus de celle effectuée en appel est inférieure à 30 heures, il convient d'ajouter au montant précité l'indemnisation forfaitaire de 20%, soit CHF 290.-, pour un total de CHF 1'740.-, auquel s'ajoute la TVA en CHF 139.20, ainsi que les débours en CHF 100.- correspondant aux frais d'interprète. Le montant total des frais et honoraires de Me B______ s'élève ainsi à CHF 1'979.20.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