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P/1473/2020 vom 14. Februar 2020</w:t>
      </w:r>
    </w:p>
    <w:p>
      <w:r>
        <w:t>GE Cour de justice, 2020-02-14, FR</w:t>
      </w:r>
    </w:p>
    <w:p>
      <w:r>
        <w:rPr>
          <w:b/>
        </w:rPr>
        <w:t xml:space="preserve">Quelle: </w:t>
      </w:r>
      <w:r>
        <w:t>https://mcp.opencaselaw.ch/entscheid/ge_gerichte_P_1473_2020</w:t>
      </w:r>
    </w:p>
    <w:p>
      <w:r>
        <w:t>FR: GE_GERICHTE P/1473/2020 du 14 février 2020</w:t>
      </w:r>
    </w:p>
    <w:p>
      <w:r>
        <w:t>IT: GE_GERICHTE P/1473/2020 del 14 febbraio 2020</w:t>
      </w:r>
    </w:p>
    <w:p>
      <w:pPr>
        <w:pStyle w:val="Heading2"/>
      </w:pPr>
      <w:r>
        <w:t>Regeste</w:t>
      </w:r>
    </w:p>
    <w:p>
      <w:r>
        <w:t>DÉFENSE D'OFFICE;CAS BÉNIN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de la recourante, non examinée par le Ministère public dans l'ordonnance querellée, peut rester ouverte, au vu des considérations qui suivent. La recourante étant exposé à une peine pécuniaire de 90 jours-amende, le cas est de peu de gravité au sens de l'art. 132 al. 3 CPP. L'examen des circonstances du cas d'espèce ne permet en outre pas de retenir qu'il présenterait des difficultés particulières, du point de vue de l'établissement des faits ou des questions juridiques soulevées, que la recourante n'aurait pas été en mesure de résoudre seule. En effet, les faits et dispositions légales applicables sont clairement circonscrits et sont d'une compréhension simple - même pour un profane -, quelle que soit la langue dans laquelle la recourante s'exprime. Celle-ci, dûment assistée d'un interprète lors de son audition à la police, a du reste parfaitement compris ce qui lui était reproché et a donné des explications suffisamment circonstanciées. Que l'enquête de police ait démarré à la suite d'une dénonciation anonyme n'y change rien. Le fait que l'audition de la recourante ait duré une journée ne rend pas non plus les faits plus complexes, étant relevé que dite audition a dû être suspendue à deux reprises pour permettre à la police de perquisitionner le logement de la prévenue, cette dernière n'ayant pas immédiatement donné son adresse réelle. Rien ne permet en outre d'affirmer que l'instruction pourrait être élargie à d'autres infractions et, si tel devait être le cas, la recourante pourrait toujours redéposer une demande d'assistance judiciaire. Le cas étant de peu de gravité, la recourante ne saurait par ailleurs tirer aucun argument de l'amende prononcée, même dans l'hypothèse d'une conversion en dix jours de peine privative de liberté. Enfin, le fait que la condamnation - non définitive en l'état - puisse avoir un impact sur la situation administrative de la recourante en Suisse ou que la recourante ait entrepris un suivi psychosocial à l'issue de son audition n'est pas déterminant sous l'angle des conditions d'octroi de l'assistance juridique en matière pénale.</w:t>
      </w:r>
    </w:p>
    <w:p>
      <w:r>
        <w:rPr>
          <w:b/>
        </w:rPr>
        <w:t>E. 4</w:t>
      </w:r>
    </w:p>
    <w:p>
      <w:r>
        <w:t>Justifiée, l'ordonnance querellée sera donc confirmée.</w:t>
      </w:r>
    </w:p>
    <w:p>
      <w:r>
        <w:rPr>
          <w:b/>
        </w:rPr>
        <w:t>E. 5</w:t>
      </w:r>
    </w:p>
    <w:p>
      <w:r>
        <w:t>Vu l'issue du recours, qui était voué à l'échec, il n'y pas lieu d'entrer en matière sur la demande d'assistance juridique pour la procédure de recours.</w:t>
      </w:r>
    </w:p>
    <w:p>
      <w:r>
        <w:rPr>
          <w:b/>
        </w:rPr>
        <w:t>E. 6</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