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P/14703/2018 vom 16. Februar 2021</w:t>
      </w:r>
    </w:p>
    <w:p>
      <w:r>
        <w:t>GE Cour de justice, 2021-02-16, FR</w:t>
      </w:r>
    </w:p>
    <w:p>
      <w:r>
        <w:rPr>
          <w:b/>
        </w:rPr>
        <w:t xml:space="preserve">Quelle: </w:t>
      </w:r>
      <w:r>
        <w:t>https://mcp.opencaselaw.ch/entscheid/ge_gerichte_P_14703_2018</w:t>
      </w:r>
    </w:p>
    <w:p>
      <w:r>
        <w:t>FR: GE_GERICHTE P/14703/2018 du 16 février 2021</w:t>
      </w:r>
    </w:p>
    <w:p>
      <w:r>
        <w:t>IT: GE_GERICHTE P/14703/2018 del 16 febbraio 2021</w:t>
      </w:r>
    </w:p>
    <w:p>
      <w:pPr>
        <w:pStyle w:val="Heading2"/>
      </w:pPr>
      <w:r>
        <w:t>Regeste</w:t>
      </w:r>
    </w:p>
    <w:p>
      <w:r>
        <w:t>RUPTURE DE BAN;FIXATION DE LA PEINE;PEINE PRIVATIVE DE LIBERTÉ;DURÉE;FRAIS DE LA PROCÉDURE;DÉFENSE D'OFFICE | CP.291.al1; CP.47; CP.40; CPP.428; CPP.135</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1.2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 2.1.3.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arrêt du Tribunal fédéral 6B_420/2017 du 15 novembre 2017 consid. 2.1). 2.1.4. Bien que la récidive ne constitue plus un motif d'aggravation obligatoire de la peine (art. 67 aCP), les antécédents continuent de jouer un rôle très important dans la fixation de celle-ci (arrêt du Tribunal fédéral 6B_1202/2014 du 14 avril 2016 consid. 3.5.).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2.1.5. 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 ATF 134 IV 140 consid. 4.2 p. 143 ; arrêts du Tribunal fédéral 6B_1339/2016 du 23 mars 2017 consid. 1.1.1). L'absence de récidive durant l'année précédant le jugement attaqué n'est pas pertinente, dès lors qu'un tel comportement correspond à ce que l'on doit pouvoir attendre de tout un chacun (arrêts du Tribunal fédéral 6B_740/2016 du 2 juin 2017 consid. 2.2 et les références). Le juge dispose d'un large pouvoir d'appréciation dans l'émission du pronostic sur l'amendement de l'auteur visé par l'art. 42 al. 1 et al. 2 CP. Ce dernier doit toutefois être posé sur la base de tous les éléments propres à éclairer l'ensemble du caractère de l'accusé et ses chances d'amendement. Il n'est pas admissible d'accorder un poids particulier à certains critères et d'en négliger d'autres qui sont pertinents (ATF 135 IV 180 consid. 2.1 p. 186 et les références ; arrêts du Tribunal fédéral 6B_1406/2016 du 16 octobre 2017 consid. 1.1 à 1.3 ; 6B_430/2016 du 27 mars 2017 consid. 3.1). 2.1.6.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 p.). Les délais de prescription spéciaux, plus courts que les délais ordinaires, tel celui prévu par l'art. 109 CP pour les contraventions ou par l'art. 178 al. 1 CP pour les délits contre l'honneur, ne sont pas pris en considération (ATF 132 IV 1 consid. 6.1.1 p. 2).</w:t>
      </w:r>
    </w:p>
    <w:p>
      <w:r>
        <w:rPr>
          <w:b/>
        </w:rPr>
        <w:t>E. 2</w:t>
      </w:r>
    </w:p>
    <w:p>
      <w:r>
        <w:t>2.1.1. La rupture de ban (art. 291 CP) est punie d'une peine privative de liberté de trois ans au maximum, une peine pécuniaire pouvant être infligée. Selon l'art. 97 al. 1 let. c CP, l'action pénale se prescrit par dix ans.</w:t>
      </w:r>
    </w:p>
    <w:p>
      <w:r>
        <w:rPr>
          <w:b/>
        </w:rPr>
        <w:t>E. 2.2</w:t>
      </w:r>
    </w:p>
    <w:p>
      <w:r>
        <w:t>En l'espèce, la faute de l'appelant est d'une gravité relative, mais n'est pas anodine. Il a en effet contrevenu à une décision de l'autorité dont il avait clairement compris les effets puisque, de son propre aveu, il avait quitté la Suisse conformément à la carte de sortie qui lui avait été remise. Ses explications quant aux circonstances de son retour en Suisse ont été fluctuantes et contradictoires, de sorte que seul un crédit fort limité peut y être accordé. A la police, il a prétendu ne pas avoir su que son bus allait passer par la Suisse quand il y est monté et devant le MP qu'il ignorait qu'il n'avait pas le droit d'entrer en Suisse pour aller y prendre un bus. Cette dernière affirmation suscite des doutes dès lors que A______ savait pertinemment qu'il devait, à sa sortie de prison, quitter la Suisse avant le 5 janvier 2018, aucun retour n'étant autorisé. Ultérieurement, son conseil a repris sa première version, mais celle-ci est clairement battue en brèche par la photographie du billet de bus de l'appelant qui précise expressément et en gros caractère gras un départ de Genève depuis la gare routière pour le jour où il a été interpellé. Aucun renseignement n'a de surcroît été donné quant à la personne qu'il aurait été visitée à F______ et l'appelant n'a pas daigné se présenter à l'audience de jugement, de sorte que sa version des faits selon laquelle il n'a fait qu'un bref passage en Suisse n'est pas établie et l'on ne s'explique pas les divergences dans ses explications autrement que par le fait qu'elles ne correspondent pas à la vérité. Cela étant, il est établi qu'à la suite de sa sortie de prison début janvier 2018, l'appelant est bien retourné en Italie où des documents d'identité et de séjour lui ont été établis. Dans cette mesure, l'entier de la période pénale visée par l'acte d'accusation ne saurait être admis. Le prévenu n'a donné aucune indication sur sa situation personnelle qui permette d'y relier son comportement. Il n'y a donc pas lieu de s'y référer sinon que l'on peut considérer que, titulaire d'un permis de séjour italien, il n'était aucunement contraint de se rendre en Suisse alors que sa situation financière n'est pas établie, l'appelant prétendant travailler dans l'agriculture sans apporter la moindre précision ni aucun élément de preuve. Si la période pénale est incertaine, au vu de ses explications douteuses, la collaboration de l'appelant, tout comme sa prise de conscience, apparaissent faible et de peu de consistance. Il n'a pas exprimé de regrets. Seules un peu plus de deux années s'étant écoulées depuis sa dernière condamnation, il ne saurait être considéré que le fait qu'il n'ait plus eu à faire avec la justice suisse durant cette période permette de le faire bénéficier de la circonstance atténuante du long temps écoulé, ce qui n'est manifestement pas le cas. Il a plusieurs antécédents judiciaires, certes non spécifiques, mais a néanmoins été condamné à réitérées reprises pour séjour illégal. Après trois condamnations à des peines pécuniaires, il s'est vu condamner à une peine privative de liberté d'importance qu'il a purgée sans que cela ne le retienne de commettre à nouveau une infraction. Dans ces circonstances, le prononcé d'une peine privative de liberté se justifie, outre le fait que rien ne dit qu'il serait en mesure de s'acquitter d'une peine pécuniaire. Au vu de ses nombreux antécédents, l'appelant ayant à nouveau commis une infraction quelques mois après être sorti de prison, et de sa prise de conscience très imparfaite, le pronostic à émettre quant à son comportement futur est défavorable. Cela étant, il peut être admis, dans les circonstances du cas d'espèce, que la faute de l'appelant ne mérite pas le prononcé d'une peine privative de liberté de six mois, alors que ce quantum avait été requis pour une période pénale de sept mois environ, qui est en réalité incertaine. La peine menace étant de trois ans de peine privative de liberté, il faut admettre au vu des éléments précités que le prononcé d'une peine privative de liberté de quatre mois sanctionne correctement le comportement fautif de l'appelant, une amende n'entrant aucunement en ligne de compte. Il n'y a pas matière à révocation de la libération conditionnelle octroyée le 13 décembre 2017, l'entier de la peine ayant été exécuté. L'appel est ainsi partiellement admis et le jugement sera réformé dans le sens précité.</w:t>
      </w:r>
    </w:p>
    <w:p>
      <w:r>
        <w:rPr>
          <w:b/>
        </w:rPr>
        <w:t>E. 3.1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3.2</w:t>
      </w:r>
    </w:p>
    <w:p>
      <w:r>
        <w:t>Le verdict de culpabilité de l'appelant étant confirmé, il n'y a pas lieu de revenir sur les frais de première instance qu'en ce qui concerne l'émolument de jugement complémentaire de CHF 600.-, lequel sera mis à la charge de l'Etat de Genève. L'appelant obtenant très partiellement gain de cause en appel, il assumera les deux tiers des frais de la procédure d'appel, comprenant un émolument d'arrêt de CHF 1'500.-, le solde étant laissé à la charge de l'Etat (art. 428 CPP a contrario ).</w:t>
      </w:r>
    </w:p>
    <w:p>
      <w:r>
        <w:rPr>
          <w:b/>
        </w:rPr>
        <w:t>E. 4</w:t>
      </w:r>
    </w:p>
    <w:p>
      <w:r>
        <w:t>Considéré globalement, l'état de frais produit par Me B______, défenseure d'office de A______, satisfait les exigences légales et jurisprudentielles régissant l'assistance judiciaire gratuite en matière pénale . La rémunération de Me B______ sera partant arrêtée à CHF 646.20, correspondant à 2h30mn d'activité au tarif de CHF 200.-/heure, plus la majoration forfaitaire de 20% et l'équivalent de la TVA au taux de 7.7% en CHF 46.20.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