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P/14610/2017 vom 5. Mai 2025</w:t>
      </w:r>
    </w:p>
    <w:p>
      <w:r>
        <w:t>GE Cour de justice, 2025-05-05, FR</w:t>
      </w:r>
    </w:p>
    <w:p>
      <w:r>
        <w:rPr>
          <w:b/>
        </w:rPr>
        <w:t xml:space="preserve">Quelle: </w:t>
      </w:r>
      <w:r>
        <w:t>https://mcp.opencaselaw.ch/entscheid/ge_gerichte_P_14610_2017</w:t>
      </w:r>
    </w:p>
    <w:p>
      <w:r>
        <w:t>FR: GE_GERICHTE P/14610/2017 du 5 mai 2025</w:t>
      </w:r>
    </w:p>
    <w:p>
      <w:r>
        <w:t>IT: GE_GERICHTE P/14610/2017 del 5 maggio 2025</w:t>
      </w:r>
    </w:p>
    <w:p>
      <w:pPr>
        <w:pStyle w:val="Heading2"/>
      </w:pPr>
      <w:r>
        <w:t>Regeste</w:t>
      </w:r>
    </w:p>
    <w:p>
      <w:r>
        <w:t>RÉVISION(DÉCISION);AUTORITÉ DE RECOURS;DÉCISION D'IRRECEVABILITÉ;FRAIS JUDICIAIRES | CPP.21.al1.letb; CPP.388.al2; CPP.412.al2; CPP.428; LOJ.130.al1.leta</w:t>
      </w:r>
    </w:p>
    <w:p>
      <w:pPr>
        <w:pStyle w:val="Heading2"/>
      </w:pPr>
      <w:r>
        <w:t>Erwägungen</w:t>
      </w:r>
    </w:p>
    <w:p>
      <w:r>
        <w:rPr>
          <w:b/>
        </w:rPr>
        <w:t>E. 1</w:t>
      </w:r>
    </w:p>
    <w:p>
      <w:r>
        <w:t>1.1.1. La CPAR est l'autorité compétente en matière de révision (art. 21 al. 1 let. b du Code de procédure pénale [CPP] cum art. 130 al. 1 let. a de la Loi d'organisation judiciaire [LOJ]). 1.1.2. L'art. 388 al. 2 CPP, qui fait partie des dispositions générales des " Voies de recours " (prévues au titre 9 du CPP et englobant la révision), prévoit que le magistrat de la juridiction d'appel exerçant la direction de la procédure peut décider de ne pas entrer en matière sur les recours manifestement irrecevables (let. a) ou dont la motivation est manifestement insuffisante (let. b).</w:t>
      </w:r>
    </w:p>
    <w:p>
      <w:r>
        <w:rPr>
          <w:b/>
        </w:rPr>
        <w:t>E. 1.2</w:t>
      </w:r>
    </w:p>
    <w:p>
      <w:r>
        <w:t>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Les faits ou moyens de preuves sont nouveaux lorsque le juge n'en a pas eu connaissance au moment où il s'est prononcé, c'est-à-dire lorsqu'ils ne lui ont pas été soumis sous quelque forme que ce soit (ATF 137 IV 59 consid. 5.1.2 p. 66 s. ; 130 IV 72 consid. 1. p. 73). Les faits et moyens de preuve sont sérieux lorsqu'ils sont propres à ébranler les constatations de fait sur lesquelles se fonde la condamnation et que l'état de fait ainsi modifié rend possible un jugement sensiblement plus favorable au condamné (ATF 145 IV 197 consid. 1.1 ; 137 IV 59 consid. 5.1.4 p. 6 ; 130 IV 72 consid. 1 p. 73 ; arrêt du Tribunal fédéral 6B_731/2013 du 28 novembre 2013 consid. 3.1.2).</w:t>
      </w:r>
    </w:p>
    <w:p>
      <w:r>
        <w:rPr>
          <w:b/>
        </w:rPr>
        <w:t>E. 1.3</w:t>
      </w:r>
    </w:p>
    <w:p>
      <w:r>
        <w:t>Les demandes de révision doivent être motivées et adressées par écrit à la juridiction d’appel. Les motifs de révision doivent être exposés et justifiés dans la demande (art. 411 al. 1 CPP). La demande en révision en raison de faits ou de moyens de preuve nouveaux n'est soumise à aucun délai (art. 411 al. 2 in fine CPP).</w:t>
      </w:r>
    </w:p>
    <w:p>
      <w:r>
        <w:rPr>
          <w:b/>
        </w:rPr>
        <w:t>E. 1.4</w:t>
      </w:r>
    </w:p>
    <w:p>
      <w:r>
        <w:t>L'art. 412 CPP prévoit que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La procédure de non-entrée en matière de l'art. 412 al. 2 CPP est en principe réservée à des vices de nature formelle. Il est toutefois également possible de prononcer une décision de non-entrée en matière lorsque les motifs de révision invoqués sont manifestement non vraisemblables ou infondés (ATF 143 IV 122 consid. 3.5 ; arrêts du Tribunal fédéral 6B_1122/2020 du 6 octobre 2021 consid. 2.2.2 ; 6B_1197/2020 du 19 juillet 2021 consid. 1.1) ou encore lorsque la demande de révision apparaît abusive (arrêts du Tribunal fédéral 6B_1122/2020 précité consid. 2.2.2 ; 6B_813/2020 du 22 juillet 2020 consid. 1.1). Le refus d'entrer en matière s'impose alors pour des motifs d'économie de procédure, car si la situation est évidente, il n'y a pas de raison que l'autorité requière des déterminations (art. 412 al. 3 CPP) pour ensuite rejeter la demande (art. 413 al. 1 CPP ; arrêts du Tribunal fédéral 6B_32/2022 du 5 mai 2022 consid. 1.4 ; 6B_1122/2020 précité consid. 2.2.2 ; 6B_1197/2020 précité consid. 1.1).</w:t>
      </w:r>
    </w:p>
    <w:p>
      <w:r>
        <w:rPr>
          <w:b/>
        </w:rPr>
        <w:t>E. 2</w:t>
      </w:r>
    </w:p>
    <w:p>
      <w:r>
        <w:t>En l'espèce, la demande en révision apparaît d'emblée infondée. Aucun motif de révision n'a été exposé et justifié à satisfaction de droit par la demanderesse dans son écriture, et aucun fait ou moyen de preuve nouveau n'a été valablement invoqué. Même à considérer qu'il appartiendrait à l'autorité saisie, en l'absence d'un motif de révision suffisamment allégué, de le rechercher d'office dans la documentation versée en vrac par la demanderesse, que cette dernière échouerait à en faire la démonstration. En effet, nul document pertinent fourni à l'appui de la demande n'est antérieur aux décisions judiciaires prises dans le cadre des procédures P/14610/2017 et P/14721/2017. Il s'ensuit qu'il ne sera pas entré en matière sur la demande de révision, qui doit être déclarée irrecevable.</w:t>
      </w:r>
    </w:p>
    <w:p>
      <w:r>
        <w:rPr>
          <w:b/>
        </w:rPr>
        <w:t>E. 3</w:t>
      </w:r>
    </w:p>
    <w:p>
      <w:r>
        <w:t>3.1. Le Président de la CPAR est compétent pour nommer un défenseur d'office (art. 388 let. c CPP), pour autant que les conditions liées à l'octroi de l'assistance judiciaire soient remplies.</w:t>
      </w:r>
    </w:p>
    <w:p>
      <w:r>
        <w:rPr>
          <w:b/>
        </w:rPr>
        <w:t>E. 3.2</w:t>
      </w:r>
    </w:p>
    <w:p>
      <w:r>
        <w:t>Au vu du caractère infondé de la demande de révision, celle-ci étant manifestement vouée à l'échec, il ne se justifiait pas de nommer un défenseur d'office en faveur de A______ (art. 29 al. 3 de la Constitution fédérale), qui n'en a d'ailleurs pas fait la requête.</w:t>
      </w:r>
    </w:p>
    <w:p>
      <w:r>
        <w:rPr>
          <w:b/>
        </w:rPr>
        <w:t>E. 4</w:t>
      </w:r>
    </w:p>
    <w:p>
      <w:r>
        <w:t>4.1. Les frais de la procédure de recours sont mis à la charge des parties dans la mesure où elles ont obtenu gain de cause ou succombé. La partie dont le recours est irrecevable ou qui retire le recours est considérée avoir succombé (art. 428 al. 1 CPP).</w:t>
      </w:r>
    </w:p>
    <w:p>
      <w:r>
        <w:rPr>
          <w:b/>
        </w:rPr>
        <w:t>E. 4.2</w:t>
      </w:r>
    </w:p>
    <w:p>
      <w:r>
        <w:t>Vu l'issue de la procédure, la demanderesse sera condamnée aux frais, lesquels comprendront un émolument de jugement (art. 14 al. 1 let. b du Règlement fixant le tarif des frais en matière pénale).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