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P/14603/2021 vom 16. Mai 2023</w:t>
      </w:r>
    </w:p>
    <w:p>
      <w:r>
        <w:t>GE Cour de justice, 2023-05-16, FR</w:t>
      </w:r>
    </w:p>
    <w:p>
      <w:r>
        <w:rPr>
          <w:b/>
        </w:rPr>
        <w:t xml:space="preserve">Quelle: </w:t>
      </w:r>
      <w:r>
        <w:t>https://mcp.opencaselaw.ch/entscheid/ge_gerichte_P_14603_2021</w:t>
      </w:r>
    </w:p>
    <w:p>
      <w:r>
        <w:t>FR: GE_GERICHTE P/14603/2021 du 16 mai 2023</w:t>
      </w:r>
    </w:p>
    <w:p>
      <w:r>
        <w:t>IT: GE_GERICHTE P/14603/2021 del 16 maggio 2023</w:t>
      </w:r>
    </w:p>
    <w:p>
      <w:pPr>
        <w:pStyle w:val="Heading2"/>
      </w:pPr>
      <w:r>
        <w:t>Regeste</w:t>
      </w:r>
    </w:p>
    <w:p>
      <w:r>
        <w:t>EXPULSION(DROIT PÉNAL);ACQUIS DE SCHENGEN;BASE DE DONNÉES;FIXATION DE LA PEINE;GENS DU VOYAGE | CP.47; CP.66A</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 culture, de même que les mœurs et les coutumes de l'auteur peuvent jouer un rôle propre à réduire la quotité de la peine. Lorsque l'intégration sociale de l'auteur étranger n'est pas acquise au même degré que chez les ressortissants du pays d'accueil, il faut en tenir compte. Celle-ci peut expliquer son geste, à tout le moins en partie. Lors de son appréciation de l'influence de la culture étrangère, le juge doit néanmoins tenir compte de la culture suisse. Cependant, lorsque l'étranger auteur d'une infraction sait que celle-ci est punissable dans son propre pays, il faut écarter d'emblée toute possibilité de réduire la peine en raison d'une différence des mœurs (L. PAREIN, La fixation de la peine: de l'homme "coupable" à l'homme "capable" , Bâle 2010, p. 153 s. ; ATF 117 IV 7 ; M. DUPUIS / L. MOREILLON / C. PIGUET / S. BERGER / M. MAZOU / V. RODIGARI (éds), Code pénal - Petit commentaire , 2e éd., Bâle 2017, n. 4 ad art. 47 CP).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 Code pénal I : art. 1-100 CP , Bâle 2009, n. 55 ad art. 47).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2.1.3.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Lorsque la qualification de vol par métier s’applique, elle exclut un concours au sens de l'art. 49 CP entre les vols commis. Les différents actes forment une unité juridique. Il n’en reste pas moins que l’ampleur des actes est susceptible de jouer un rôle du point de vue de la culpabilité, donc de la fixation de la peine (A. MACALUSO / L. MOREILLON / N. QUELOZ [éds], Commentaire romand, Code pénal II , Bâle 2017, n. 71 ad art. 139).</w:t>
      </w:r>
    </w:p>
    <w:p>
      <w:r>
        <w:rPr>
          <w:b/>
        </w:rPr>
        <w:t>E. 2.2</w:t>
      </w:r>
    </w:p>
    <w:p>
      <w:r>
        <w:t>Au vu des infractions en cause, l'appelant est punissable au plus d'une peine privative de liberté de dix ans pour le vol en bande et par métier (art. 139 ch. 2 et 3 CP) et de cinq ans pour la mise en danger de la vie d'autrui (art. 129 CP). Les infractions de lésions corporelles simples (art. 123 CP), de dommages à la propriété (art. 144 CP), de violation de domicile (art. 186 CP), d'usage et appropriation sans droit de plaques d'immatriculation (art. 97 al. 1 let. a et g LCR) sont respectivement passibles d’une peine privative de liberté de trois ans au plus ou d'une peine pécuniaire. L'entrée illégale est, quant à elle, sanctionnée au plus d’une peine privative de liberté d’un an ou d’une peine pécuniaire (art. 115 al. 1 let. a LEI), tandis que la violation fondamentale des règles de la circulation routière est nécessairement réprimée par une peine privative de liberté de un à quatre ans (art. 90 al. 3 et 4 LCR). Enfin, l'empêchement d'accomplir un acte officiel est passible d'une peine pécuniaire de 30 jours-amende au plus (art. 286 al. 1 CP).</w:t>
      </w:r>
    </w:p>
    <w:p>
      <w:r>
        <w:rPr>
          <w:b/>
        </w:rPr>
        <w:t>E. 2.3</w:t>
      </w:r>
    </w:p>
    <w:p>
      <w:r>
        <w:t>En l'espèce, la faute de l'appelant est très grave. Par sa stratégie élaborée, il s'en est pris à plusieurs biens juridiques importants et ce, par pur appât d'un gain facile, au mépris du patrimoine d'autrui et de l'ordre juridique établi. Sa faute est d'autant plus lourde qu'il s'est décidé à revenir en Suisse uniquement pour commettre les mêmes infractions pour lesquelles il avait été condamné en 2014, tout en entrainant de surcroit son fils dans ses agissements coupables. Il n'a pas hésité non plus à mettre en danger la vie d'un grand nombre d'usagers de la route, y compris celle de son propre enfant, en adoptant un comportement particulièrement périlleux aux fins de se soustraire à leur interpellation. Se faisant, il a créé un accident et blessé sans scrupules deux agents de police. En l'espace de quelques jours durant l'été 2021, l'appelant a commis, notamment, une vingtaine de vols, couplés de violations de domicile et dommages à la propriété, ainsi qu'une dizaine de vols de plaques d'immatriculation avant de terminer son activité par un délit de chauffard-fuyard sans scrupules, lequel s'est concrétisé par un important accident. Sa volonté délictuelle était donc particulièrement intense. Sa collaboration a été certes mauvaise mais s'explique en partie par l’implication de son fils qu'il souhaitait épargner à tout prix, allant jusqu'à mentir sur leurs liens familiaux. Sa prise de conscience peut être qualifiée de moyenne, dès lors qu'elle est principalement dictée par la menace d'une peine ferme encore longue. Son acquiescement aux conclusions civiles est, en revanche, un effort qui doit être salué, même si les perspectives concrètes qu’il s’exécute un jour sont faibles. Sa situation personnelle socio-économique explique en partie ses actes, mais ne saurait les justifier et ne sera donc que très partiellement prise en compte. En effet, malgré sa culture et ses mœurs, l'appelant n'ignorait pas que ses actes étaient répréhensibles. Par ailleurs, comme l'a retenu à juste titre le premier juge, il vivait en Belgique dans une maison familiale et avait eu plusieurs emplois lui permettant de gagner sa vie honnêtement. Ses antécédents spécifiques, en Suisse comme à l'étranger, démontrent que l'appelant a choisi délibérément la récidive malgré ses précédentes condamnations, les détentions effectuées et la libération conditionnelle octroyée en 2015. Son pronostic en lien avec le vol par métier est partant défavorable, de sorte qu'il se justifie de prononcer une peine privative de liberté ferme, aggravée des autres infractions entrant en concours. Une peine pécuniaire ferme sera également prononcée pour les infractions des art. 97 LCR et 286 CP. En effet, dans la mesure où les nombreux vols et appropriations de plaques d'immatriculation s'inscrivaient pleinement dans le cadre de la stratégie du vol par métier, le pronostic posé est également défavorable. L'infraction la plus grave étant celle du vol par métier et en bande, elle justifierait à elle seule une peine privative de liberté de trois ans, aggravée de 16 mois pour la mise en danger de la vie d'autrui (peine hypothétique de deux ans), de huit mois supplémentaires pour le délit de chauffard (peine hypothétique d’un an), de sept mois pour les lésions corporelles simples (peine hypothétique de dix mois) ainsi que 20 jours additionnels pour les entrées illégales (peine hypothétique d'un mois). Aussi, la peine qui sanctionnerait adéquatement le comportement de l'auteur serait de cinq ans sept mois et 20 jours, laquelle sera ramenée à cinq ans pour tenir compte des facteurs atténuants susmentionnés, sous déduction des jours de détention avant jugement et en exécution anticipée de peine accomplis jusqu'au jour du présent arrêt. L'appelant sera encore condamné à une peine pécuniaire de 90 jours-amende pour les vols et les appropriations des plaques, aggravée de 15 jours supplémentaires pour tenir compte de l'art. 286 CP (peine théorique de 20 jours), soit un total de 105 jours-amende. La quotité de CHF 30.- l'unité sera, quant à elle, confirmée. Partant, l'appel joint sera partiellement admis en ce qui concerne la quotité de la peine infligée à l'appelant et l'appel principal de ce dernier sera rejeté.</w:t>
      </w:r>
    </w:p>
    <w:p>
      <w:r>
        <w:rPr>
          <w:b/>
        </w:rPr>
        <w:t>E. 3</w:t>
      </w:r>
    </w:p>
    <w:p>
      <w:r>
        <w:t>3.1.1. Conformément à l'art. 66a al. 1 let. d CP, le juge expulse un étranger du territoire suisse pour une durée de cinq à quinze ans s'il est reconnu coupable de vol (art. 139 CP) en lien avec une violation de domicile (art. 186 CP). 3.1.2. 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3.1.3. 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"menace pour l'ordre public et la sécurité publique".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3.2</w:t>
      </w:r>
    </w:p>
    <w:p>
      <w:r>
        <w:t>En l'espèce, c'est à bon droit que le premier juge a prononcé l'expulsion de l'appelant, lequel s'y accorde. Cela étant, il n'y a pas lieu d'étendre la mesure d'expulsion prononcée à l'ensemble de l'espace Schengen, l'expulsion du territoire suisse suffisant à atteindre le but recherché. Par ailleurs, le MP, à qui incombe le fardeau de la preuve, ne démontre pas que le prévenu serait ressortissant d’un quelconque État, et n’a notamment rien entrepris pour contredire les allégations du prévenu qui affirme ne pas avoir pu être renvoyé en 2015. Ainsi, il faut tenir compte de son statut proche de l'apatridie, qui rend une expulsion dans un état hors de l’espace Schengen impossible à mettre en œuvre (cf. arrêt du Tribunal fédéral 6B_627/2022 du 6 mars 2023, destiné à la publication). A cela s’ajoute le fait que toute sa famille réside en Belgique, pays dans lequel il semble disposer d’un semblant d’autorisation de séjour ou à tout le moins de tolérance. Aussi, l'intérêt privé de l'appelant à pouvoir retourner dans un pays où il dispose d’attaches auprès des siens doit l'emporter sur la menace qu'il représenterait pour les autres États parties. En outre, une telle inscription ne manquerait pas d'anéantir définitivement ses chances de réinsertion et sa volonté d'amendement, ce qui est contraire à l'intérêt public. Partant, l'appel joint sera rejeté sur ce point.</w:t>
      </w:r>
    </w:p>
    <w:p>
      <w:r>
        <w:rPr>
          <w:b/>
        </w:rPr>
        <w:t>E. 4</w:t>
      </w:r>
    </w:p>
    <w:p>
      <w:r>
        <w:t>L’appelant a acquiescé aux conclusions en indemnisation formulées en appel par AA______ et AN______. Il lui en sera dès lors donné acte et il sera condamné, en tant que de besoin, à leur verser les sommes de CHF 2'261.70, respectivement CHF 5'044.50, audience (0h55) et TVA inclues (art. 433 CPP).</w:t>
      </w:r>
    </w:p>
    <w:p>
      <w:r>
        <w:rPr>
          <w:b/>
        </w:rPr>
        <w:t>E. 5</w:t>
      </w:r>
    </w:p>
    <w:p>
      <w:r>
        <w:t>L'appel joint ayant été partiellement admis, l'appelant, qui succombe, supportera les trois quarts des frais de la procédure envers l'État (art. 428 CPP), lesquels comprennent un émolument de jugement de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