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P/14594/2016 vom 25. Februar 2019</w:t>
      </w:r>
    </w:p>
    <w:p>
      <w:r>
        <w:t>GE Cour de justice, 2019-02-25, FR</w:t>
      </w:r>
    </w:p>
    <w:p>
      <w:r>
        <w:rPr>
          <w:b/>
        </w:rPr>
        <w:t xml:space="preserve">Quelle: </w:t>
      </w:r>
      <w:r>
        <w:t>https://mcp.opencaselaw.ch/entscheid/ge_gerichte_P_14594_2016</w:t>
      </w:r>
    </w:p>
    <w:p>
      <w:r>
        <w:t>FR: GE_GERICHTE P/14594/2016 du 25 février 2019</w:t>
      </w:r>
    </w:p>
    <w:p>
      <w:r>
        <w:t>IT: GE_GERICHTE P/14594/2016 del 25 febbraio 2019</w:t>
      </w:r>
    </w:p>
    <w:p>
      <w:pPr>
        <w:pStyle w:val="Heading2"/>
      </w:pPr>
      <w:r>
        <w:t>Regeste</w:t>
      </w:r>
    </w:p>
    <w:p>
      <w:r>
        <w:t>VIOL ; ASSASSINAT ; MEURTRE ; VIOLENCE DOMESTIQUE ; RESPONSABILITÉ RESTREINTE(DROIT PÉNAL) ; CONCOURS D'INFRACTIONS ; PEINE PRIVATIVE DE LIBERTÉ ; TRAITEMENT AMBULATOIRE | CP.190.al1; CP.22 cum 112; CP.111; CP.47; CP.49.al1; CP.19.al2; CP.63.al1; CP.56.al3; CPP.428.al1; CPP.428.al3; CPP.422; CPP.135.al1</w:t>
      </w:r>
    </w:p>
    <w:p>
      <w:pPr>
        <w:pStyle w:val="Heading2"/>
      </w:pPr>
      <w:r>
        <w:t>Erwägungen</w:t>
      </w:r>
    </w:p>
    <w:p>
      <w:r>
        <w:rPr>
          <w:b/>
        </w:rPr>
        <w:t>E. 1</w:t>
      </w:r>
    </w:p>
    <w:p>
      <w:r>
        <w:t>Les appels (principal et joint) sont recevables pour avoir été interjetés et motivés selon la forme et dans les délais prescrits (art. 398 s. et 401 CPP). La Chambre limite son examen aux violations décrites dans l'acte d'appel (art. 404 al. 1 CPP), sauf en cas de décisions illégales ou inéquitables (art. 404 al. 2 CPP).</w:t>
      </w:r>
    </w:p>
    <w:p>
      <w:r>
        <w:rPr>
          <w:b/>
        </w:rPr>
        <w:t>E. 2</w:t>
      </w:r>
    </w:p>
    <w:p>
      <w:r>
        <w:t>2.1.1. La déclaration d'appel doit indiquer les parties du jugement qui sont attaquées, les modifications du jugement de première instance demandées, les réquisitions de preuves. Lorsque l'appelant limite son appel à certaines parties du jugement attaqué, on parle d'appel partiel. Il ne doit pas seulement mentionner les parties du jugement qu'il attaque, mais indiquer les modifications du dispositif qu'il demande sur ces points. La déclaration d'appel ne doit pas non plus contenir de motifs ou de motivation, sauf s'il est dispensé de participer aux débats ou si la procédure est écrite (A. KUHN / Y. JEANNERET [éds], Commentaire romand : Code de procédure pénale suisse , Bâle 2011, n. 15, 16 et 19 ad art. 399). 2.1.2. La déclaration d'appel fixe de manière définitive l'objet de l'appel, en ce sens que l'appelant ne peut plus élargir sa déclaration d'appel à d'autres points au-delà du délai de vingt jours pour déposer la déclaration d'appel (A. KUHN / Y. JEANNERET [éds], op.cit ., n. 21 ad art. 399).</w:t>
      </w:r>
    </w:p>
    <w:p>
      <w:r>
        <w:rPr>
          <w:b/>
        </w:rPr>
        <w:t>E. 2.2</w:t>
      </w:r>
    </w:p>
    <w:p>
      <w:r>
        <w:t>En l'espèce, bien que M e O______ s'en soit rapporté à justice quant à la tentative de meurtre pendant l'audience d'appel, elle a conclu, pour le compte de son client, dans sa déclaration d'appel, à la déqualification de la tentative d'assassinat en tentative de meurtre. Partant, les faits concernés par la tentative de meurtre doivent être considérés comme reconnus par l'appelant et seule l'aggravante de l'assassinat fera l'objet d'un examen par la Cour.</w:t>
      </w:r>
    </w:p>
    <w:p>
      <w:r>
        <w:rPr>
          <w:b/>
        </w:rPr>
        <w:t>E. 3</w:t>
      </w:r>
    </w:p>
    <w:p>
      <w:r>
        <w:t>3.1.1.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Cst. et 10 al. 3 CPP, ainsi que son corollaire, le principe in dubio pro reo , concernent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 3.1.2.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3.1.3.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3.1.4. Il est admissible d'examiner le comportement des protagonistes avant et après l'acte sexuel, dès lors qu'il peut être révélateur de ce qu'ils ont effectivement vécu (arrêt du Tribunal fédéral 6B_735/2007 du 24 janvier 2008 consid. 2.2). 3.1.5. Il convient, par ailleurs, de rappeler que 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3.2.1. Les infractions réprimant la contrainte sexuelle et le viol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106 consid. 3a/bb ; ATF 124 IV 154 consid. 3b). 3.2.2. A teneur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 Par acte sexuel, il faut entendre l'introduction, même partielle et momentanée, du pénis dans le vagin, l'éjaculation n'étant pas nécessaire (ATF 123 IV 49 consid. 2 p. 52).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Les pressions d'ordre psychique visent les cas où l'auteur provoque chez la victime des effets d'ordre psychique, tels que la surprise, la frayeur ou le sentiment d'une situation sans espoir, propres à la faire céder (ATF 128 IV 106 consid. 3a/bb ; 122 IV 97 consid. 2b). Sur le plan subjectif, les infractions de contrainte et de viol sont intentionnelles, mais le dol éventuel suffit. L'auteur doit savoir que la victime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3.3.1.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3.3.2. Pour caractériser l'absence particulière de scrupules, l'art. 112 CP évoque le cas où les mobiles, le but ou la façon d'agir de l'auteur sont particulièrement odieux, cet énoncé n'étant toutefois pas exhaustif. Le Tribunal fédéral a ainsi retenu que la façon d'agir démontrait l'absence particulière de scrupules dans le cas d'un prévenu ayant asséné six coups de couteau à son épouse, dont le seul tort était de vouloir le quitter, ne s'arrêtant qu'une fois celle-ci effondrée, puis s'en était allé en prenant le risque que les enfants découvrent le corps de leur mère (arrêt du Tribunal fédéral 6S.357/2004 du 20 octobre 2004 consid. 2.2). Le meurtrier qui s'acharne sur sa victime, par exemple en la criblant de balle ou en lui assénant de nombreux coups de couteau, se comporte à la manière d'un assassin (arrêt du Tribunal fédéral 6B_355/2015 du 22 février 2016 consid. 1.6.2 et les références citées).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du 27 février 2014 consid. 4.1).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141 IV 61 consid. 4.1 p. 65 ; 127 IV 10 consid. 1a p. 13 ; 120 IV 265 consid. 3a p. 274 ; 118 IV 122 consid. 2b p.125 s. ; 117 IV 369 consid. 17 p. 389 s. et les références citées).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du 23 décembre 2014 consid. 1.2 et 6B_1066/2013 précités). Il faut en revanche retenir l'assassinat lorsqu'il ressort des circonstances de l'acte que son auteur fait preuve du mépris le plus complet pour la vie d'autrui (ATF 141 IV 61 consid. 4.1 p. 65 ; 120 IV 265 consid. 3a p. 274 ; 118 IV 122 consid. 2b p. 126 ; cf. également ATF 117 IV 369 consid. 19b p. 394). 3.3.3. La préméditation, qui a disparu du texte de l'art. 112 CP, n'est pas une condition de l'assassinat. Le Tribunal fédéral a cependant précisé que la préméditation, au sens d'une planification froide de l'acte, peut constituer un indice de l'absence particulière de scrupules de l'auteur (arrêt du Tribunal fédéral 6B_23/2012 du 1 er novembre 2012 consid. 4.4). 3.3.4. Pour déterminer si l'on se trouve en présence d'un assassinat, il faut procéder à une appréciation d'ensemble des circonstances externes (comportement, manière d'agir de l'auteur) et internes de l'acte (mobile, but, etc.). Les antécédents ou le comportement que l'auteur adopte immédiatement après les faits n'entrent en ligne de compte que dans la mesure où ils y sont étroitement liés, et permettent de caractériser la personnalité de l'auteur (ATF 141 IV 61 consid. 4.1 p. 64 ; 127 IV 10 consid. 1a p. 14 ; arrêts du Tribunal fédéral 6B_596/2014 et 6B_1066/2013 précités). 3.3.5.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étant antinomiques (arrêt du Tribunal fédéral 6B_158/2009 du 1er mai 2009 consid. 1.1 ; M. DUPUIS et al ., op. cit ., n. 31 ad art. 112 ; B. CORBOZ, op cit. n. 30 p. 49 et les références citées).</w:t>
      </w:r>
    </w:p>
    <w:p>
      <w:r>
        <w:rPr>
          <w:b/>
        </w:rPr>
        <w:t>E. 3.4</w:t>
      </w:r>
    </w:p>
    <w:p>
      <w:r>
        <w:t>Selon la jurisprudence, il y a tentative, au sens de l'art. 22 al. 1 CP, lorsque l'auteur a réalisé les éléments subjectifs de l'infraction et ainsi manifesté sa décision de la commettre (ATF 131 IV 100 consid. 7.2 ; 128 IV 18 consid. 3b; 122 IV 246 consid. 3a).</w:t>
      </w:r>
    </w:p>
    <w:p>
      <w:r>
        <w:rPr>
          <w:b/>
        </w:rPr>
        <w:t>E. 3.5</w:t>
      </w:r>
    </w:p>
    <w:p>
      <w:r>
        <w:t>L'appelant se prévaut d'amnésie s'agissant de ses déclarations des 5 et 6 août 2016. Il estime que leur contenu n'est pas conforme à la réalité, au motif qu'il n'avait pas tous ses esprits, ayant perdu beaucoup de sang et étant sous perfusion et calmants. Or, à teneur des rapports médicaux versés à la procédure, l'appelant était orienté à son admission aux urgences. Les médecins ont également rapporté qu'il était vigilent et que son attention ainsi que sa concentration étaient normales dans les heures et les jours suivant les faits. Quant aux analyses toxicologiques réalisées le jour des faits à 15h50, elles n'ont révélé que la présence de caféine, à l'exclusion de toute autre substance. Au surplus, selon le Dr. K______, psychiatre, l'amnésie lacunaire dont se prévalait l'appelant, laquelle ne se rapportait de toute manière pas aux faits, mais uniquement au récit qu'il en avait fait lors de son hospitalisation, n'avait pas d'explication sur le plan médical. Cette amnésie ne pouvait pas non plus être mise en relation avec les éventuels traitements médicaux prescrits, dans la mesure où la morphine prescrite « si besoin », n’avait pas été utilisée et que la prise de Temesta n’était pas de nature à empêcher l'appelant de fournir une narration exacte des faits. Il n'existe par conséquent aucune raison d'écarter les déclarations de l'appelant des</w:t>
      </w:r>
    </w:p>
    <w:p>
      <w:r>
        <w:rPr>
          <w:b/>
        </w:rPr>
        <w:t>E. 5</w:t>
      </w:r>
    </w:p>
    <w:p>
      <w:r>
        <w:t>5.1.1.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(art. 56 al. 1 let. a CP), mais sans qu'il soit pour autant nécessaire de prévoir une mesure thérapeutique institutionnelle (art. 56a al. 1 CP). 5.1.2.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rPr>
          <w:b/>
        </w:rPr>
        <w:t>E. 5.2</w:t>
      </w:r>
    </w:p>
    <w:p>
      <w:r>
        <w:t>A teneur de l'expertise psychiatrique, A______ souffre d'un grave trouble mental de sévérité moyenne découlant d'un trouble de la personnalité associé à épisode dépressif de sévérité élevée. L'expert, qui a également relevé un risque de récidive d’infraction de même nature ou de nature différente, susceptible d'être majoré dans un contexte de conflit conjugal ou de dépression, a préconisé un traitement ambulatoire associant une prise en charge psychiatrique et psychothérapique des troubles de la personnalité. Partant, la CPAR confirmera la mesure ambulatoire ordonnée par les premiers juges, laquelle n'est au demeurant pas contestée.</w:t>
      </w:r>
    </w:p>
    <w:p>
      <w:r>
        <w:rPr>
          <w:b/>
        </w:rPr>
        <w:t>E. 6.1</w:t>
      </w:r>
    </w:p>
    <w:p>
      <w:r>
        <w:t>Dans le cadre du recours, les frais de la procédure sont mis à la charge des parties dans la mesure où elles ont obtenu gain de cause ou succombé (art. 428 al. 1 CPP).</w:t>
      </w:r>
    </w:p>
    <w:p>
      <w:r>
        <w:rPr>
          <w:b/>
        </w:rPr>
        <w:t>E. 6.2</w:t>
      </w:r>
    </w:p>
    <w:p>
      <w:r>
        <w:t>Si l’autorité de recours rend elle-même une nouvelle décision, elle se prononce également sur les frais fixés par l’autorité inférieure (art. 428 al. 3 CPP).</w:t>
      </w:r>
    </w:p>
    <w:p>
      <w:r>
        <w:rPr>
          <w:b/>
        </w:rPr>
        <w:t>E. 6.3</w:t>
      </w:r>
    </w:p>
    <w:p>
      <w:r>
        <w:t>Vu l'issue de la procédure, l'appelant, qui n'obtient gain de cause que s'agissant de la déqualification de l'assassinat en tentative de meurtre, supportera la moitié des frais de première instance et d'appel (art. 428 CPP), comprenant, dans leur totalité, un émolument de CHF 2'500.-, le solde étant laissé à la charge de l'Etat (art. 428 al. 2 let. b CPP ; art. 14 al. 1 let. e du Règlement fixant le tarif des frais en matière pénale [RTFMP – E 4 10.03]).</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7.2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7.3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7.4</w:t>
      </w:r>
    </w:p>
    <w:p>
      <w:r>
        <w:t>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w:t>
      </w:r>
    </w:p>
    <w:p>
      <w:r>
        <w:rPr>
          <w:b/>
        </w:rPr>
        <w:t>E. 7.5</w:t>
      </w:r>
    </w:p>
    <w:p>
      <w:r>
        <w:t>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 Aussi, la rémunération forfaitaire de la vacation aller/retour au et du Palais de justice ou au et du bâtiment du Ministère public est-elle arrêtée à CHF 100.- pour le chef d'étude, dite rémunération étant allouée d'office pour la juridiction d'appel pour les débats devant elle.</w:t>
      </w:r>
    </w:p>
    <w:p>
      <w:r>
        <w:rPr>
          <w:b/>
        </w:rPr>
        <w:t>E. 7.6</w:t>
      </w:r>
    </w:p>
    <w:p>
      <w:r>
        <w:t>L'état de frais produit par M e O______, considéré dans sa globalité, paraît adéquat, à l'exception du temps consacré à la rédaction de la déclaration d'appel, celui-ci étant compris dans le forfait pour activités diverses, forfait qu'il y a lieu de fixer à 10% eu égard à l'activité déployée en première instance. Quant à la durée de l'audience d'appel, celle-ci a été arrêtée à deux heures. Ainsi, l'indemnité sera arrêtée à CHF 2'477.10, correspondant à 10 heures d'activité de cheffe d'étude au tarif de CHF 200.-/heure, plus la majoration forfaitaire de 10 % (CHF 200.-), la vacation (CHF 100.-) ainsi que l'équivalent de la TVA au taux de 7.7% (CHF 177.10).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