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P/14561/2019 vom 30. Juni 2021</w:t>
      </w:r>
    </w:p>
    <w:p>
      <w:r>
        <w:t>GE Cour de justice, 2021-06-30, FR</w:t>
      </w:r>
    </w:p>
    <w:p>
      <w:r>
        <w:rPr>
          <w:b/>
        </w:rPr>
        <w:t xml:space="preserve">Quelle: </w:t>
      </w:r>
      <w:r>
        <w:t>https://mcp.opencaselaw.ch/entscheid/ge_gerichte_P_14561_2019</w:t>
      </w:r>
    </w:p>
    <w:p>
      <w:r>
        <w:t>FR: GE_GERICHTE P/14561/2019 du 30 juin 2021</w:t>
      </w:r>
    </w:p>
    <w:p>
      <w:r>
        <w:t>IT: GE_GERICHTE P/14561/2019 del 30 giugno 2021</w:t>
      </w:r>
    </w:p>
    <w:p>
      <w:pPr>
        <w:pStyle w:val="Heading2"/>
      </w:pPr>
      <w:r>
        <w:t>Regeste</w:t>
      </w:r>
    </w:p>
    <w:p>
      <w:r>
        <w:t>SOUPÇON;FAUX INTELLECTUEL DANS LES TITRES;RÉVISION(GESTION FINANCIÈRE);TITRE AUTHENTIQUE(DROIT PÉNAL) | CPP.310; CP.110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 au motif que le Ministère public ne s'était pas prononcé sur ses réquisitions de preuve et qu'il serait " définitivement " privé de les faire valoir. À tort. Comme le consacre une jurisprudence fédérale constante, éprouvée et suivie par la Chambre de céans, le ministère public, avant de rendre une ordonnance de non-entrée en matière, n'a pas à en informer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 consid. 2.1.; 6B_93/2014 du 21 août 2014 et 6B_43/2013 du 11 avril 2013 consid. 2.1 et les références citées). Pour le même motif, le ministère public n'a pas non plus l'obligation de fixer aux parties un délai pour présenter d'éventuelles réquisitions de preuve, l'art. 318 CPP n'étant pas applicable dans ce cas (arrêts du Tribunal fédéral 6B_138/2021 du 23 septembre 2021 consid. 3.1.; 6B_70/2021 du 12 juillet 2021 consid. 3.2.; 6B_1014/2020 du 10 février 2021 consid. 2.1.2.). La procédure de recours permet, en effet, aux parties de faire valoir tous leurs griefs – formels et matériels –- auprès d'une autorité disposant d'une pleine cognition en fait et en droit (cf. art. 391 al. 1 et 393 al. 2 CPP; arrêts du Tribunal fédéral 6B_138/2021 du 23 septembre 2021 consid. 3.1; 6B_1007/2020 du 13 avril 2021 consid. 2.3.; 6B_1014/2020 du 10 février 2021 consid. 2.1.2; 6B_290/2020 du 17 juillet 2020 consid. 2.2; 6B_673/2019 du 31 octobre 2019 consid. 2.2; 6B_810/2019 du 22 juillet 2019 consid. 2.1).</w:t>
      </w:r>
    </w:p>
    <w:p>
      <w:r>
        <w:rPr>
          <w:b/>
        </w:rPr>
        <w:t>E. 4</w:t>
      </w:r>
    </w:p>
    <w:p>
      <w:r>
        <w:t>Le recourant se plaint que le Ministère public n’ait pas retenu l’existence vraisemblable de faux dans les titres et de tentatives de contrainte et d'escroquerie au procès.</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principe, une non-entrée en matière ne peut être prononcée par le ministère public que lorsqu'il apparaît clairement que les faits ne sont pas punissables ou que les conditions à la poursuite pénale ne sont pas remplies (ATF 146 IV 68 consid. 2.1 p. 69).</w:t>
      </w:r>
    </w:p>
    <w:p>
      <w:r>
        <w:rPr>
          <w:b/>
        </w:rPr>
        <w:t>E. 4.2</w:t>
      </w:r>
    </w:p>
    <w:p>
      <w:r>
        <w:t>L'escroquerie au procès constitue un cas particulier d'escroquerie (art. 146 CP). Elle consiste à tromper astucieusement le juge aux fins de le déterminer à rendre une décision – matériellement fausse – préjudiciable au patrimoine de la partie adverse ou d'un tiers (ATF 122 IV 197 consid. 2 p. 199 ss; arrêts du Tribunal fédéral 6B_510/2020 du 15 septembre 2020 consid. 3.3; 6B_751/2018 du 2 octobre 2019 consid. 1.4.3). L'escroquerie au procès tombe sous le coup de l'art. 146 CP moyennant la réalisation de l'ensemble des éléments constitutifs objectifs et subjectifs de cette disposition. La typicité se conçoit sans réelle particularité (ATF 122 IV 197 consid. 2d p. 203; arrêt du Tribunal fédéral 6B_751/2018 précité consid. 1.4.3). Dans ce contexte également, l'auteur doit agir avec l'intention d'obtenir un avantage indu, et cette condition n'est pas réalisée lorsqu'il a, ou croit avoir, droit au paiement du montant qu'il réclame (arrêt du Tribunal fédéral 6B_510/2020 du 15 septembre 2020 consid. 3.3 et les références citées).</w:t>
      </w:r>
    </w:p>
    <w:p>
      <w:r>
        <w:rPr>
          <w:b/>
        </w:rPr>
        <w:t>E. 4.3</w:t>
      </w:r>
    </w:p>
    <w:p>
      <w:r>
        <w:t>En vertu de l'art. 181 CP, se rend coupable de contrainte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arrêts du Tribunal fédéral 6B_160/2017 du 13 décembre 2017 consid. 7.1; 6B_125/2017 du 27 octobre 2017 consid. 2.1).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137 IV 326 consid. 3.3.1 p. 328). Faire notifier un commandement de payer lorsqu'on est fondé à réclamer une somme est licite. En revanche, utiliser un tel procédé comme moyen de pression est clairement abusif, donc illicite (cf. ATF 115 III 18 consid. 3, 81 consid. 3b; arrêt du Tribunal fédéral 6B_70/2016 précité consid. 4.3.4). Tel sera le cas lorsque le procédé n'est pas dans un rapport raisonnable avec le but visé et constitue un moyen de pression abusif (arrêt du Tribunal fédéral 6B_415/2018 du 20 septembre 2018 consid. 2.1.3; ATF 120 IV 17 consid. 2a/bb p. 20 et les arrêts cités).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En application de ces principes, est constitutive d'une tentative de contrainte la notification de trois commandements de payer d'un montant de CHF 910'000.- chacun, ne reposant sur aucune créance valable, notifiés à des dirigeants d'une société avec laquelle l'auteur se trouvait en litige et portant, comme cause de l'obligation, la référence à une lettre du ministère public envoyée dans le cadre d'une procédure pénale, (arrêt du Tribunal fédéral 6B_8/2017 du 15 août 2017 consid. 2.2; cf. également les faits à la base de l'arrêt du Tribunal fédéral 6S.853/2000 du 9 mai 2001). Il en va de même de la notification d'un commandement de payer de plus de CHF 800'000.-, plus de 13 ans après les faits et sans démarches judiciaires parallèles (arrêt du Tribunal fédéral 6B_153/2017 du 28 novembre 2017 consid. 3.2.2). Un commandement de payer de plus de CHF 600'000.-, représentant les loyers de la totalité d'un contrat de bail conclu pour une durée de 10 ans, précédé d'un message électronique proposant un règlement amiable du litige pour une somme moindre, sous peine de poursuites, de saisie de salaire en mains de l'employeur, voire d'action en justice, mais resté sans suite après le refus de la mainlevée de l'opposition, constitue un moyen de pression abusif (arrêt du Tribunal fédéral 6B_378/2016 précité consid. 2.3). La contrainte peut être réalisée par une accumulation de comportements distincts de l'auteur, par exemple lorsque celui-ci importune sa victime par sa présence de manière répétée pendant une période prolongée (cf., au sujet de la notion de stalking ou harcèlement obsessionnel : ATF 129 IV 262 consid. 2.3-2.5 pp. 265-269).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p. 266 s.). L’intensité requise par l'art. 181 CP peut résulter du cumul de comportements divers ou de la répétition de comportements identiques sur une durée prolongée (ATF 141 IV 437 consid. 3.2.2 p. 442 s.). Pour que la contrainte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ATF 129 IV 262 ; 106 IV 125 consid. 2b).</w:t>
      </w:r>
    </w:p>
    <w:p>
      <w:r>
        <w:rPr>
          <w:b/>
        </w:rPr>
        <w:t>E. 4.4</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Le document doit donc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 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p. 260 s.). La jurisprudence considère que certains documents possèdent une valeur probante accrue en raison de la fonction de la personne qui les établit – cette personne se trouvant dans une position comparable à celle d'un garant à l'égard des personnes induites en erreur –. Toutefois, le seul fait que le document mentionne, ou soit matériellement rédigé par, une personne qui jouit dans les faits d'un crédit particulier – comme un notaire – n'accroît pas sa valeur probante (ATF 146 IV 258 consid. 1.1.2. p. 263). Ainsi, le fait que le contrat de vente d'un établissement public ait été préparé par la fiduciaire du vendeur ne suffit pas à en faire un faux intellectuel, fût-ce pour tromper un tiers (ATF 146 IV 258 consid. 1.2.4 p. 265). Pour le surplus, la jurisprudence rejette l'élargissement qu'impliquerait la théorie dite du seul destinataire, selon laquelle il conviendrait, pour déterminer si un document est probant, de se placer dans la situation du destinataire voulu, et non pas de se fixer sur la situation de l'auteur qui devrait être dans une position de quasi-garant (cf. ATF 146 IV 258 consid. 1.2.7 p. 267). Ainsi, un faux contrat de travail (arrêt du Tribunal fédéral 6S.423/2003 du 3 janvier 2004 consid. 4.2.) ou des procurations antidatées (ATF 122 IV 232 consid. 2c. p. 339) – tous documents qui avaient été présentés à des juges d'instruction – ne sont pas des faux intellectuels. En effet, si tel était le cas, toutes les pièces mensongères qui tomberaient en possession de la justice deviendraient alors automatiquement des faux intellectuels (arrêt du Tribunal fédéral 6P.15/2007 du 19 avril 2007 consid. 8.2.1).</w:t>
      </w:r>
    </w:p>
    <w:p>
      <w:r>
        <w:rPr>
          <w:b/>
        </w:rPr>
        <w:t>E. 4.5</w:t>
      </w:r>
    </w:p>
    <w:p>
      <w:r>
        <w:t>À l'aune de ces principes, les griefs du recourant sont dénués de fondement. Ils reposent en réalité, tous, sur la prémisse que la demande reconventionnelle dirigée contre le recourant serait illégitime et infondée. Or, ce sera aux juges du travail d'en décider. Sous l'angle du droit pénal, on ne voit pas comment un rapport d'audit demandé par l'employeur, hors de toute obligation imposée par le CO, mais produit en justice à l'appui de conclusions pécuniaires dirigées contre l'ancien administrateur et salarié, deviendrait un faux intellectuel punissable du seul fait que ce dernier en conteste les tenants et aboutissants. Pareil rapport était, peut-être, destiné à prouver, au sens de l'art. 110 al. 4 CP, les allégués de la demande reconventionnelle formée contre le recourant, mais il n'y était, en tout cas, pas apte à lui seul, au sens de cette disposition légale, faute de revêtir une force probante accrue. La jurisprudence qu'invoque le recourant à cet égard (ATF 132 IV 12 consid. 8.1 p. 14 s.) ne lui est d'aucun secours, puisqu'elle se rapporte aux états financiers, à la comptabilité commerciale et à la déclaration d'intégralité : aucun de ces domaines n'est en jeu, en l'espèce. Le rapport litigieux s'apparente tout au plus à une expertise privée réalisée sur mandat d'un participant à la procédure, dont le résultat est considéré comme un simple allégué de ce participant (ATF 142 II 355 consid. 6; arrêt du Tribunal fédéral 6B_1435/2017 du 17 mai 2018 consid. 2.1). C'est d'autant plus vrai en l'espèce que la société elle-même suggère de prouver ses pertes par expertise et que, en tout état, la juridiction des prud'hommes, soumise au CPC (art. 13 al. 1 de la loi sur le Tribunal des prud'hommes; E 3 10), applique le droit d'office (art. 57 CPC; RS 272), administre les preuves d'office (art. 153 CPC), y compris par voie d'expertise (art. 183 al. 1 CPC), et apprécie ensuite librement les preuves recueillies (art. 157 CPC). En déposant une demande de reconventionnelle fondée sur le rapport d'audit, l'ex-employeur du recourant n'a pas, non plus, et pour les mêmes motifs, tenté d'induire astucieusement en erreur le Tribunal des prud'hommes, d'autant moins que la jurisprudence récente en matière de faux confirme ne pas s'attacher à la personne du destinataire du document. L'ex-employeur agit contre le recourant en croyant avoir droit au montant qu'il lui réclame. Au demeurant, il est singulier que le recourant soutienne, tout à la fois, que le rapport d'audit serait un faux intellectuel, astucieusement destiné à tromper des juges, mais que ses auteurs n'auraient ouvertement pas les aptitudes professionnelles requises pour se prononcer ainsi qu'ils l'ont fait. Quant à la notification d'un commandement de payer, pour un montant qui correspond à celui de la demande reconventionnelle, on ne voit pas en quoi l'utilisation d'une voie de recouvrement forcé, mais légal pour une somme d'argent (art. 38 al. 1 LP; RS 281.1), serait en elle-même une tentative de contrainte abusive ou disproportionnée. L'acte de poursuite n'a pas suivi immédiatement le licenciement contesté (octobre 2017), ni même la demande en justice du recourant (mai 2018), mais la reconvention (septembre 2018). Le rapport entre la poursuite requise et l'objectif judiciaire visé paraît ainsi raisonnable. Par ailleurs, le recourant était actif dans le négoce de matières premières au sein d'une société spécialisée dont il fut l'administrateur et percevait un salaire annuel de plusieurs centaines de milliers de francs suisses et des bonus comparables. Sur la base de bilans audités – antérieurs à la mise en œuvre de l'audit litigieux –, la société semble avoir réalisé un bénéfice supérieur à CHF 10 millions en 2015. Elle affirme avoir ensuite essuyé des pertes totales supérieures à CHF 8 millions avant de se séparer du recourant, lequel concède une perte de CHF 2,6 millions au 30 juin 2017. Dans ces circonstances et avec de tels ordres de grandeur, le recourant, ancien administrateur s'affirmant créancier de quelque CHF 2,3 millions, ne peut pas prétendre avoir été victime d'une tentative d'intimidation par un acte de poursuite portant sur CHF 9,5 millions. Du reste, il a aussi notifié un commandement de payer à son ex-employeur pour sa propre créance, laquelle n'est pas moins contestée. Que l'ancien employeur ait parallèlement saisi la justice étrangère est sans pertinence. Pareille initiative, eût-elle été prise à quatre reprises, ne s’assimile pas au fait d’"importuner" ou de "harceler" le recourant, et encore moins à une volonté de le faire se désister de son action en justice (cf. ACPR/648/2021 du 30 septembre 2021 consid. 3.4.) ou d'exercer des représailles contre lui. Hormis une certaine concomitance, le recourant ne fournit aucun indice à l'appui d'un lien de causalité entre ces diverses démarches. Une accusation de concurrence déloyale est insuffisante. Celle de tentative de faux dans les titres est dépourvue de toute explication, sauf à la rattacher à des allégués de la demande reconventionnelle, laquelle n'est, comme on l'a vu, ni illicite ni abusive en elle-même.</w:t>
      </w:r>
    </w:p>
    <w:p>
      <w:r>
        <w:rPr>
          <w:b/>
        </w:rPr>
        <w:t>E. 5</w:t>
      </w:r>
    </w:p>
    <w:p>
      <w:r>
        <w:t>Infondé, le recours sera rejeté.</w:t>
      </w:r>
    </w:p>
    <w:p>
      <w:r>
        <w:rPr>
          <w:b/>
        </w:rPr>
        <w:t>E. 6</w:t>
      </w:r>
    </w:p>
    <w:p>
      <w:r>
        <w:t>Le recourant, qui succombe dans toutes ses conclusions, supportera les frais envers l'État, fixés en totalité à CHF 1’200.-, y compris l'émolument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