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P/14481/2023 vom 6. Juli 2023</w:t>
      </w:r>
    </w:p>
    <w:p>
      <w:r>
        <w:t>GE Cour de justice, 2023-07-06, FR</w:t>
      </w:r>
    </w:p>
    <w:p>
      <w:r>
        <w:rPr>
          <w:b/>
        </w:rPr>
        <w:t xml:space="preserve">Quelle: </w:t>
      </w:r>
      <w:r>
        <w:t>https://mcp.opencaselaw.ch/entscheid/ge_gerichte_P_14481_2023</w:t>
      </w:r>
    </w:p>
    <w:p>
      <w:r>
        <w:t>FR: GE_GERICHTE P/14481/2023 du 6 juillet 2023</w:t>
      </w:r>
    </w:p>
    <w:p>
      <w:r>
        <w:t>IT: GE_GERICHTE P/14481/2023 del 6 luglio 2023</w:t>
      </w:r>
    </w:p>
    <w:p>
      <w:pPr>
        <w:pStyle w:val="Heading2"/>
      </w:pPr>
      <w:r>
        <w:t>Regeste</w:t>
      </w:r>
    </w:p>
    <w:p>
      <w:r>
        <w:t>ORDONNANCE DE NON-ENTRÉE EN MATIÈRE;CONSTATATION DES FAITS | CPP.310</w:t>
      </w:r>
    </w:p>
    <w:p>
      <w:pPr>
        <w:pStyle w:val="Heading2"/>
      </w:pPr>
      <w:r>
        <w:t>Erwägungen</w:t>
      </w:r>
    </w:p>
    <w:p>
      <w:r>
        <w:rPr>
          <w:b/>
        </w:rPr>
        <w:t>E. 1.1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devant la juridiction de céans à l'appui du recours sont également recevables, la jurisprudence admettant la production de faits et de moyens de preuve nouveaux en deuxième instance (arrêt du Tribunal fédéral 1B_550/2022 du 17 novembre 2022 consid. 2.2).</w:t>
      </w:r>
    </w:p>
    <w:p>
      <w:r>
        <w:rPr>
          <w:b/>
        </w:rPr>
        <w:t>E. 2</w:t>
      </w:r>
    </w:p>
    <w:p>
      <w:r>
        <w:t>La recourante fait grief au Ministère public de n'avoir pas traité dans l'ordonnance querellée des faits constitutifs, selon elle, de tentative " d'atteinte à la liberté et à l'honneur sexuels ", séquestration et voies de fait. 2.1.1. En tant que la recourante demande à ce que les fessées qui lui ont été données par le mis en cause soient également qualifiées de voies de fait, cette conclusion est irrecevable, devant être examinée dans le cadre de l'opposition formée à l'ordonnance pénale, puisqu'elles ont été retenues sous l'angle de l'art. 198 al. 2 CP. Pour le surplus, il y a lieu d'examiner si l'absence de prise en compte des autres chefs d'accusation dans l'ordonnance querellée consacre une violation du droit d'être entendue de la recourante. 2.1.2.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 135 I 265 , consid. 4.3).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126 I 97 consid. 2b). 2.1.3. 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 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 la pratique de la Chambre de céans veut, en pareilles circonstances, que la cause soit renvoyée à l'instance précédente pour qu'elle rende une ordonnance ( ACPR/261/2022 du 21 avril 2022, consid. 4.4 in fine ; cf. également arrêts du Tribunal fédéral 6B_819/2018 du 25 janvier 2019 consid. 3.8 et 6B_84/2020 du 22 juin 2020 consid. 2.1.2).</w:t>
      </w:r>
    </w:p>
    <w:p>
      <w:r>
        <w:rPr>
          <w:b/>
        </w:rPr>
        <w:t>E. 2.2</w:t>
      </w:r>
    </w:p>
    <w:p>
      <w:r>
        <w:t>En l'espèce, le Ministère public a – malgré la connexité étroite des faits – déclaré le mis en cause coupable de désagréments causés par la confrontation à un acte d'ordre sexuel (art. 198 al. 2 CP) – tout en le libérant d'une tentative à cette même infraction – et l'a condamné pour contrainte (art. 181 CP), mais pas pour menaces (art. 180 CP). En outre, force est de constater que certaines explications données par la recourante lors de son audition à la police – à savoir que le mis en cause lui avait proposé des relations sexuelles, avait tenté de la pousser dans sa chambre, après lui avoir attrapé le poignet, et l'avait empêchée de quitter l'appartement pendant une quarantaine de minutes –, ne sont nullement mentionnées dans l'ordonnance querellée. Enfin, le Ministère public a omis d'examiner la question du concours d'infractions, la contrainte sexuelle (art. 189 CP) étant une lex specialis par rapport aux art. 180 CP et 181 CP et ceux-ci pouvant, selon les circonstances, entrer en concours avec l'art. 183 CP (M. DUPUIS/ L. MOREILLON/ C. PIGUET/ S. BERGER/ M. MAZOU/ V. RODIGARI (éds), Code pénal - Petit commentaire , 2 ème éd., Bâle 2017, n. 45 ad art. 189 et n 41 ad art. 183). Ainsi, contrairement à ce que soutient le Ministère public, la problématique n’est pas celle d'une qualification juridique différente de faits, mais bien celle de l'établissement incomplet desdits faits. En agissant de la sorte, il a rendu une ordonnance confuse, ne permettant pas à l'autorité de recours de comprendre ce qui est exactement reproché au prévenu, ni quelles charges ont été abandonnées. Dans ces circonstances, la Chambre de céans n'est pas en mesure de déterminer, dans l'ordonnance attaquée, les raisons pour lesquelles certains faits, non mentionnés dans l'ordonnance, semblent avoir été classés, sans motivation. La cause doit ainsi être renvoyée au Ministère public pour qu'il statue dans le sens des considérants et rende, le cas échéant, des décisions séparées.</w:t>
      </w:r>
    </w:p>
    <w:p>
      <w:r>
        <w:rPr>
          <w:b/>
        </w:rPr>
        <w:t>E. 3</w:t>
      </w:r>
    </w:p>
    <w:p>
      <w:r>
        <w:t>Fondé, le recours doit être admis, dans la mesure de sa recevabilité.</w:t>
      </w:r>
    </w:p>
    <w:p>
      <w:r>
        <w:rPr>
          <w:b/>
        </w:rPr>
        <w:t>E. 4</w:t>
      </w:r>
    </w:p>
    <w:p>
      <w:r>
        <w:t>L'admission du recours ne donne pas lieu à la perception de frais (art. 428 al. 4 CPP).</w:t>
      </w:r>
    </w:p>
    <w:p>
      <w:r>
        <w:rPr>
          <w:b/>
        </w:rPr>
        <w:t>E. 5</w:t>
      </w:r>
    </w:p>
    <w:p>
      <w:r>
        <w:t>La plaignante, qui obtient gain de cause, peut prétendre à l'octroi des dépens. Elle réclame CHF 6'720.50 TTC, correspondant à 20h d'activité d'avocat (entretiens avec la cliente, étude de l'ordonnance attaquée, rédaction du recours, correspondances, recherches juridiques, consultation du dossier et rédaction d'une plainte complémentaire) au tarif horaire de CHF 300.-. Le temps consacré aux postes précités paraît excessif. Il sera ramené à 8h, durée qui apparaît raisonnable eu égard à l'absence de difficulté de la cause et aux considérations retenues par la Chambre de céans pour l'admission du recours. Une indemnité de CHF 2'584.80 TTC sera donc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