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P/14456/2019 vom 19. April 2021</w:t>
      </w:r>
    </w:p>
    <w:p>
      <w:r>
        <w:t>GE Cour de justice, 2021-04-19, FR</w:t>
      </w:r>
    </w:p>
    <w:p>
      <w:r>
        <w:rPr>
          <w:b/>
        </w:rPr>
        <w:t xml:space="preserve">Quelle: </w:t>
      </w:r>
      <w:r>
        <w:t>https://mcp.opencaselaw.ch/entscheid/ge_gerichte_P_14456_2019</w:t>
      </w:r>
    </w:p>
    <w:p>
      <w:r>
        <w:t>FR: GE_GERICHTE P/14456/2019 du 19 avril 2021</w:t>
      </w:r>
    </w:p>
    <w:p>
      <w:r>
        <w:t>IT: GE_GERICHTE P/14456/2019 del 19 aprile 2021</w:t>
      </w:r>
    </w:p>
    <w:p>
      <w:pPr>
        <w:pStyle w:val="Heading2"/>
      </w:pPr>
      <w:r>
        <w:t>Regeste</w:t>
      </w:r>
    </w:p>
    <w:p>
      <w:r>
        <w:t>MESURE THÉRAPEUTIQUE INSTITUTIONNELLE;DURÉE | CP.59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Selon l'art. 56 al. 2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déjà ATF 118 IV 108 consid. 2a p. 113 et les références citées).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 6B_1317/2018 du 22 mai 2018 consid. 3.1 ; 6B_277/2017 du 15 décembre 2017 consid. 3.1 ; 6B_343/2015 du 2 février 2016 consid. 2.2.2 ; 6B_596/2011 du 19 janvier 2012 consid. 3.2.3). 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 p. 8). Par sa nature, une mesure thérapeutique ne dépend pas de la culpabilité de l'intéressé, et n'est pas limitée de façon absolue dans le temps. Sa durée dépend, en fin de compte, des effets de la mesure sur la diminution du risque de récidive, la privation éventuelle de liberté de l'intéressé ne pouvant excéder la durée justifiée par la dangerosité qu'il présente (ATF 142 IV 105 consid. 5.4 p. 112). Le principe de proportionnalité peut toutefois commander, dans certaines circonstances, de limiter la durée de la mesure et de fixer celle-ci en-deçà de la durée légale usuelle (arrêt du Tribunal fédéral 6B_636/2018 du 25 juillet 2018 consid. 4.2).</w:t>
      </w:r>
    </w:p>
    <w:p>
      <w:r>
        <w:rPr>
          <w:b/>
        </w:rPr>
        <w:t>E. 2.2</w:t>
      </w:r>
    </w:p>
    <w:p>
      <w:r>
        <w:t>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 thérapeutes ne suffisent pas (ATF 134 IV 246 consid. 4.3).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et les références ; arrêts du Tribunal fédéral 6B_1160/2017 du 17 avril 2018 consid. 2.1 ; 6B_1348/2017 du 22 janvier 2018 consid. 1.1.3 ; 6B_1297/2015 du 22 mars 2017 consid. 3.1 ; 6B_346/2016 du 31 janvier 2017 consid. 3.2 ; 6B_513/2015 du 4 février 2016 consid. 3.4 non publié in ATF 142 IV 56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(ATF 142 IV 49 consid. 2.1.3 ; arrêt du Tribunal fédéral 6B_992/2017 du 11 décembre 2017 consid. 2.1.3).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 2.3.1.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(arrêt 6B_31/2015 susmentionné, consid. 2.1 et les références citées).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 simple administration statique et conservatoire des soins ", mais doit viser un " impact thérapeutique dynamique ". Il doit être suffisamment vraisemblable que celui-ci entraînera, dans les cinq ans de sa durée normale (art. 59 al. 4 CP), une réduction nette du risque que l'intéressé commette de nouvelles infractions. La seule possibilité vague d'une diminution du danger ne suffit pas (ATF 141 IV 1 consid. 3.2.4 p. 8 s. ; 134 IV 315 consid. 3.4.1 p. 321 ; arrêts du Tribunal fédéral 6B_130/2018 du 27 juin 2018 consid. 3.1.1 ; 6B_1397/2017 du 26 avril 2018 consid. 1.1.2). 2.3.2. Selon la jurisprudence, les autorités d'exécution sont compétentes pour désigner le lieu d'exécution du traitement institutionnel, en tenant compte du risque de fuite ou de récidive (ATF 142 IV 1 consid. 2.5 p. 10 s.). Cela étant, si un placement en milieu fermé apparaît déjà nécessaire au moment du prononcé du jugement, le juge peut et doit l'indiquer dans les considérants en traitant des conditions de l'art. 59 al. 3 CP (ATF 142 IV 1 consid. 2.4.4 p. 9 et consid.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6B_845/2016 du 29 juin 2017 consid. 3.1.4 ; 6B_371/2016 du 10 février 2017 consid. 2.1). Par ailleurs, bien que l'autorité d'exécution soit compétente pour ordonner le transfert d'établissement en cours d'exécution de la mesure, il est clair que, si un tel placement paraît déjà nécessaire au moment du prononcé du jugement, le juge doit l'indiquer dans les considérants (arrêt du Tribunal fédéral 6B_629/2009 du 21 décembre 2009 consid. 1.2.3 et les références citées).</w:t>
      </w:r>
    </w:p>
    <w:p>
      <w:r>
        <w:rPr>
          <w:b/>
        </w:rPr>
        <w:t>E. 2.4</w:t>
      </w:r>
    </w:p>
    <w:p>
      <w:r>
        <w:t>Lorsque l'auteur souffre d'un grave trouble mental, est toxico-dépendant ou qu'il souffre d'une autre addiction, le juge peut ordonner un traitement ambulatoire si l'auteur a commis un acte punissable en relation avec son état et s'il est à prévoir que cette mesure le détournera de nouvelles infractions en relation avec son état (art. 63 al. 1 CP).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La thérapie doit être privilégiée lorsqu'un traitement immédiat offre de bonnes chances de réinsertion, lesquelles seraient clairement entravées ou réduites par l'exécution de la peine. En outre, il faut notamment tenir compte des effets de l'exécution de la peine, des perspectives de succès du traitement ambulatoire et des efforts thérapeutiques déjà consentis (arrêt du Tribunal fédéral 6B_1150/2014 du 19 novembre 2015 consid. 3.2.2).</w:t>
      </w:r>
    </w:p>
    <w:p>
      <w:r>
        <w:rPr>
          <w:b/>
        </w:rPr>
        <w:t>E. 2.5</w:t>
      </w:r>
    </w:p>
    <w:p>
      <w:r>
        <w:t>En l'espèce, il n'est pas contesté ni contestable que l'appelant souffre d'un trouble mental, soit de schizophrénie paranoïde, ni que ce trouble, qualifié de moyennement sévère, nécessite des soins et une prise en charge adéquate. Il est établi par l'expertise que la mesure préconisée est propre à améliorer le pronostic légal du prévenu. En effet, même si les experts retiennent qu'une guérison au sens propre n'est pas envisageable, le traitement serait de nature à permettre une diminution, voire une disparition des symptômes, partant une réduction des risques et notamment une prise de conscience de la nature de son trouble par le prévenu, étant précisé que le risque de récidive a été qualifié d'élevé. Le principe de l'adéquation est donc respecté. L'expertise retient également que, dans un premier temps en tout cas, aucune autre mesure ne permettrait d'atteindre le but visé. Les experts décrivent en effet la raison pour laquelle ni un placement en milieu ouvert, ni une mesure ambulatoire, ne seraient à même de permettre une prise en charge adéquate du prévenu, en raison de l'anosognosie dont il souffre et de son attitude opposante, celui-ci ne s'étant jamais investi dans les suivis ambulatoires entrepris et ayant commis plusieurs fugues par le passé, qu'il n'admet d'ailleurs pas. Si l'appelant a effectivement mis en place un suivi, les experts ont également mis en évidence le fait qu'il agissait potentiellement davantage pour éviter la mesure préconisée que du fait d'une réelle prise de conscience. L'évidente corrélation existant entre son adhésion aux soins médicamenteux et les audiences pénales ne fait que confirmer qu'il agit par pur opportunité, ce qui n'a pas formellement été contredit par son psychiatre traitant, lequel a souligné que son patient était déterminé à interrompre tout suivi en l'absence d'obligation en ce sens. La CPAR a également eu l'occasion de constater par elle-même le comportement du prévenu, qui persiste à nier sa maladie et à se positionner comme victime de l'agression. Le principe de subsidiarité est ainsi également respecté. Enfin, sous l'angle de la proportionnalité au sens étroit, qui commande de procéder à une pesée des intérêts entre, d'une part, la gravité de l'atteinte aux droits du prévenu (en tenant compte des modalités d'exécution de la mesure) et, d'autre part, la nécessité d'un traitement et la vraisemblance que l'auteur commette de nouvelles infractions, force est de constater que les experts retiennent un risque élevé de commission de nouvelles infractions du genre de celles qui ont conduit à la présente procédure. Cela étant, il appert que le prévenu n'a commis aucun nouvel acte de violence depuis les faits litigieux, qui remontent à près de deux années, et qu'il a débuté un suivi thérapeutique. Tout l'enjeu consiste ainsi désormais à mettre en place, en parallèle d'un suivi psychiatrique et psychoéducatif, un traitement médicamenteux adapté, dispensé au besoin par la contrainte, l'objectif étant de déclencher chez l'appelant le mécanisme positif de prise de conscience de son trouble, afin qu'il puisse adhérer aux soins et ainsi éviter une cristallisation de son état, voire une aggravation. Une mesure thérapeutique institutionnelle qui se poursuivrait en milieu fermé pendant toute la durée légale de cinq ans ne serait vraisemblablement pas adéquate. Les experts ont d'ailleurs indiqué qu'un bref passage en milieu fermé, d'une durée toutefois minimale de trois mois, pourrait permettre de s'assurer de la mise en place du traitement. Cette mesure pourrait ensuite être revue en une mesure en milieu ouvert ou en un traitement ambulatoire. Ainsi, et afin de respecter le principe de proportionnalité au sens strict, il apparaît nécessaire que la mesure thérapeutique institutionnelle ordonnée à l'encontre du prévenu soit exécutée, dans un premier temps, en milieu fermé, qui seul paraît à même de permettre la prise en charge initiale adéquate du prévenu afin de réduire le risque de récidive. Il apparaît néanmoins tout aussi nécessaire de recommander que cette mesure fasse, dans un second temps, après une durée de trois mois, l'objet d'une réévaluation afin d'examiner quand un transfert en milieu ouvert sera envisageable. Ce n'est qu'à la condition que la privation de liberté induite par la mesure demeure raisonnable que celle-ci sera encore proportionnée dans le cas d'espèce. Pour les mêmes raisons, il importe également de limiter la durée de la mesure thérapeutique institutionnelle. En effet, la poursuite d'une telle mesure pendant cinq ans apparaît d'emblée disproportionnée. La durée de la mesure doit en conséquence être limitée à trois ans. En conclusion, à l'instar des premiers juges, force est de constater qu'aucun motif ne permet de s'écarter des conclusions de l'expertise, qui sont cohérentes et convaincantes. Les conditions de l'art. 59 al. 1 CP étant réalisées, il se justifie de confirmer le prononcé d'un traitement institutionnel en faveur de l'appelant, étant précisé que celui-ci devra impérativement revêtir un suivi psychiatrique et psychoéducatif et un traitement psychotrope. Le jugement entrepris devra toutefois être réformé dans la mesure où il ordonne le prononcé d'une mesure thérapeutique institutionnelle au sens de l'art. 59 CP à l'encontre du prévenu, la durée de cette mesure devant être limitée à trois ans.</w:t>
      </w:r>
    </w:p>
    <w:p>
      <w:r>
        <w:rPr>
          <w:b/>
        </w:rPr>
        <w:t>E. 3</w:t>
      </w:r>
    </w:p>
    <w:p>
      <w:r>
        <w:t>3.1.1.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3.1.2.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(arrêt 6B_267/2016 du 15 février 2017 consid. 6.1 et les références citées). Cette disposition prévoit que chaque plaideur doit, si la loi ne prescrit le contraire, prouver les faits qu'il allègue pour en déduire son droit. 3.1.3. L'art. 124 al. 3 CPP prescrit que si le prévenu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Le prévenu peut n'acquiescer que partiellement aux conclusions civiles. Le juge fera alors mention de l'acquiescement partiel au procès-verbal le cas échéant, tandis que, pour le surplus, il demeure tenu de trancher l'action civile jointe tout en étant lié dans la mesure de l'acquiescement. En cas d'acquiescement sur la part d'un montant chiffré, le dispositif donnera acte au prévenu de son acquiescement partiel et statuera sur le solde non reconnu, tout en le condamnant à s'exécuter pour l'entier du montant finalement retenu (A. KUHN / Y. JEANNERET (éds), Commentaire romand : Code de procédure pénale suisse , Bâle 2011, n. 12 ss ad art. 124 CPP). 3.2.1. La jurisprudence fédérale admet que la notion de prétention civile ne vise pas seulement les dommages-intérêts et l'indemnité pour tort moral, mais aussi les conclusions tendant à une interdiction, à la cessation d'un comportement illicite ou à la constatation de ce caractère illicite (ATF 122 IV 139 consid. 3b p. 143 ; 121 IV 76 consid. 1c p. 80 ; 120 IV 154 consid. 3c/aa p. 158). 3.2.2. L'art. 28b al. 1 CC prévoit qu'en cas de violence, de menaces ou de harcèlement, le demandeur peut requérir le juge d'interdire à l'auteur de l'atteinte, en particulier de l'approcher ou d'accéder à un périmètre déterminé autour de son logement (ch. 1) ; de fréquenter certains lieux, notamment des rues, places ou quartiers (ch. 2) ; de prendre contact avec lui, notamment par téléphone, par écrit ou par voie électronique, ou de lui causer d'autres dérangements (ch. 3). Lorsqu'il ordonne des mesures de protection, le juge - qui dispose d'un pouvoir d'appréciation étendu (ce qui résulte de l'emploi du verbe " peut ")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(PICHONNAZ P. / FOEX B., Commentaire Romand, Code civil I , n. 17 ad art. 28b CC).</w:t>
      </w:r>
    </w:p>
    <w:p>
      <w:r>
        <w:rPr>
          <w:b/>
        </w:rPr>
        <w:t>E. 3.3</w:t>
      </w:r>
    </w:p>
    <w:p>
      <w:r>
        <w:t>. En l'espèce, compte tenu des lésions provoquées gratuitement à l'intimée et le traumatisme ainsi causé à cette dernière, mais également du risque de récidive d'actes à caractère violent souligné par les experts, de la proximité des domiciles des parties, de la distorsion de perception de l'appelant, qui continue à affirmer avoir été agressé par l'intimée, et du fait que cette dernière est aisément reconnaissable par son apparence vestimentaire et capillaire, qui lui ont valu la qualification de " clown " par l'appelant, et considérant par ailleurs l'acquiescement de ce dernier aux conclusions civiles, la CPAR y fera droit. Il sera ainsi fait interdiction à l'appelant de contacter de quelque manière que ce soit la partie plaignante, de l'approcher et de pénétrer dans un périmètre de 200 mètres autour de son logement. Cela étant, au vu du traitement ordonné et des effets positifs escomptés sur la santé de l'appelant à court, voire moyen terme, et tenu compte de ce que l'attaque perpétrée sur l'intimée n'était pas spécifiquement visée, il faut considérer que l'écoulement d'une durée de deux ans est suffisant pour permettre de pallier au risque d'une nouvelle agression. L'interdiction prononcée sera donc limitée dans cette mesure. Elle sera assortie de la menace de l'art. 292 CP afin d'assurer son respect.</w:t>
      </w:r>
    </w:p>
    <w:p>
      <w:r>
        <w:rPr>
          <w:b/>
        </w:rPr>
        <w:t>E. 4</w:t>
      </w:r>
    </w:p>
    <w:p>
      <w:r>
        <w:t>L'appelant, qui succombe pour l'essentiel et obtient gain de cause sur un point non plaidé (durée de la mesure), supportera les 4/5 èmes de la procédure d'appel envers l'Etat (art. 428 CPP). Le jugement entrepris, lequel mettait les frais de la procédure préliminaire et de première instance à la charge de l'appelant, sera confirmé, la durée de la mesure n'ayant aucune influence sur les frais en cause.</w:t>
      </w:r>
    </w:p>
    <w:p>
      <w:r>
        <w:rPr>
          <w:b/>
        </w:rPr>
        <w:t>E. 5</w:t>
      </w:r>
    </w:p>
    <w:p>
      <w:r>
        <w:t>5.1.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ou la requête d'exécution anticipée de la peine (décision de la Cour des plaintes du Tribunal pénal fédéral BB.2013.22 du 31 octobre 2013 consid. 5.2.3).</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citées). La rémunération forfaitaire de la vacation aller/retour au et du Palais de justice est arrêtée à CHF 100.- pour les chefs d'étude, dite rémunération étant allouée d'office par la juridiction d'appel pour les débats devant elle.</w:t>
      </w:r>
    </w:p>
    <w:p>
      <w:r>
        <w:rPr>
          <w:b/>
        </w:rPr>
        <w:t>E. 5.4</w:t>
      </w:r>
    </w:p>
    <w:p>
      <w:r>
        <w:t>En l'occurrence, il convient de retrancher de l'état de frais de M e B______ le temps consacré à la rédaction de la déclaration d'appel ainsi qu'à l'examen du jugement entrepris, ces activités étant couvertes par la majoration forfaitaire. L'activité dédiée à l'étude du dossier et à la préparation des débats d'appel sera ramenée à quatre heures, suffisantes au vu du champ restreint de l'appel - seul la mesure étant contestée - et de la parfaite connaissance du dossier, déjà plaidé en première instance. Il convient pour le surplus de majorer l'état de frais de trois heures et dix minutes pour la durée de l'audience du 14 avril 2020, ainsi que d'un forfait vacation. En conclusion, la rémunération sera arrêtée à CHF 2'753.55, correspondant à 11 heures et dix minutes d'activité au tarif de CHF 200.-/heure (CHF 2'233.35), plus la majoration forfaitaire de 10% - l'activité globale excédant 30 heures - (CHF 223.35), un forfait vacation (CHF 100.-) et l'équivalent de la TVA au taux de 7.7% (CHF 196.85).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