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P/14439/2017 vom 14. Mai 2018</w:t>
      </w:r>
    </w:p>
    <w:p>
      <w:r>
        <w:t>GE Cour de justice, 2018-05-14, FR</w:t>
      </w:r>
    </w:p>
    <w:p>
      <w:r>
        <w:rPr>
          <w:b/>
        </w:rPr>
        <w:t xml:space="preserve">Quelle: </w:t>
      </w:r>
      <w:r>
        <w:t>https://mcp.opencaselaw.ch/entscheid/ge_gerichte_P_14439_2017</w:t>
      </w:r>
    </w:p>
    <w:p>
      <w:r>
        <w:t>FR: GE_GERICHTE P/14439/2017 du 14 mai 2018</w:t>
      </w:r>
    </w:p>
    <w:p>
      <w:r>
        <w:t>IT: GE_GERICHTE P/14439/2017 del 14 maggio 2018</w:t>
      </w:r>
    </w:p>
    <w:p>
      <w:pPr>
        <w:pStyle w:val="Heading2"/>
      </w:pPr>
      <w:r>
        <w:t>Regeste</w:t>
      </w:r>
    </w:p>
    <w:p>
      <w:r>
        <w:t>RÉVOCATION DU SURSIS | LEtr.115; CP.46.al1</w:t>
      </w:r>
    </w:p>
    <w:p>
      <w:pPr>
        <w:pStyle w:val="Heading2"/>
      </w:pPr>
      <w:r>
        <w:t>Erwägungen</w:t>
      </w:r>
    </w:p>
    <w:p>
      <w:r>
        <w:rPr>
          <w:b/>
        </w:rPr>
        <w:t>E. 1.1</w:t>
      </w:r>
    </w:p>
    <w:p>
      <w:r>
        <w:t>.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quotité de la peine (let. b). La Chambre limite son examen aux violations décrites dans l'acte d'appel (art. 404 al. 1 CPP), sauf en cas de décisions illégales ou inéquitables (art. 404 al. 2 CPP). 1.2.1. La suspension d'une procédure de recours n'est pas exclue, mais elle est limitée par le principe de la célérité qui découle de l'art. 29 al. 1 de la Constitution fédérale de la Confédération suisse du 18 avril 1999 (Cst ; RS 101) et, en matière pénale, de l'art. 5 CPP. Peut notamment constituer un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(ATF 130 V 90 consid. 5 et 119 II 386 consid. 1b ; arrêt du Tribunal fédéral 1B_329/2017 du 11 septembre 2017 consid. 3). 1.2.2. En l’espèce, l’appelant conclut à la suspension de la cause de sorte qu’elle puisse être traitée avec la procédure P/2______. Il ne motive cependant pas sa requête et il n’apparaît pas utile et encore moins nécessaire de traiter ces deux causes ensemble. La CPAR dispose en effet déjà des éléments propres à apprécier l’existence ou non d’un pronostic défavorable, indépendamment de l’issue de la cause précitée (cf. infra consid. 2). Le fait que dans son jugement du 19 octobre 2017, le Tribunal de police ait renoncé à révoquer le sursis en cause est sans influence, chaque juge saisi de la commission d’un nouveau crime ou délit pouvant réapprécier cette question de manière indépendante.</w:t>
      </w:r>
    </w:p>
    <w:p>
      <w:r>
        <w:rPr>
          <w:b/>
        </w:rPr>
        <w:t>E. 2.1</w:t>
      </w:r>
    </w:p>
    <w:p>
      <w:r>
        <w:t>Selon l’art. 46 al. 1 CP, 1 ère phrase,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(art. 46 al. 2 CP, 1 ère phrase). Le juge appelé à connaître du nouveau crime ou du nouveau délit est également compétent pour statuer sur la révocation (art. 46 al. 3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consid. 4.2 à 4.5 ; arrêt du Tribunal fédéral 6B_887/2017 du 8 mars 2018 consid. 5.2).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6B_887/2017 précité ; 6B_105/2016 du 11 octobre 2016 consid. 1.1 et 6B_1165/2013 du 1 er mai 2014 consid. 2.2).</w:t>
      </w:r>
    </w:p>
    <w:p>
      <w:r>
        <w:rPr>
          <w:b/>
        </w:rPr>
        <w:t>E. 2.2</w:t>
      </w:r>
    </w:p>
    <w:p>
      <w:r>
        <w:t>En l’espèce, l’appelant séjourne illégalement en Suisse depuis près de quatre ans de manière quasi continue, son séjour en Espagne à la suite de son renvoi dans ce pays n’ayant duré que dix jours. Les précédentes condamnations pour séjour illégal tout comme le renvoi précité et les deux interdictions d’entrée dont il a fait l’objet ne l’ont pas incité à quitter la Suisse ou à ne pas y revenir. Les antécédents de l’appelant comprennent également des condamnations pour opposition aux actes de l’autorité et délits contre la LStup, témoignant d’une propension chez ce dernier à se livrer au trafic de stupéfiants et à résister aux forces de l’ordre. Les procédures pénales parallèlement en cours n’attestent pas d’un quelconque changement de comportement sur ce plan, même si les condamnations prononcées n'ont pas force de loi et que la présomption d'innocence de l'appelant doit être retenue. Aucun autre élément du dossier relatif à la situation du prévenu ne permet de conduire à une perspective d’amendement. L’appelant se prévaut certes de son intention de quitter la Suisse et de se rendre dans un autre pays où il pourrait vivre légalement, mais il ne détaille ni n’étaye ce projet, qui apparaît en tout état de cause peu réaliste compte tenu de son statut. Il est ainsi prévisible qu’il commette de nouvelles infractions en Suisse, de sorte que la révocation du sursis octroyé le 1 er décembre 2014 doit être confirmée. Le fait que le Ministère public ait déjà prononcé une telle révocation par ordonnance pénale du 9 décembre 2017 (P/1______) est sans influence, dans la mesure où le prévenu y a fait opposition, empêchant ainsi l’entrée en force de cette décision (art. 354 al. 3 CPP a contrario ). Contrairement à ce que ce dernier plaide en appel, sa condamnation ne relève pas d’ "infractions bagatelles" , dès lors qu’elle concerne la commission de deux infractions qui ne sont pas de nature contraventionnelle. Il est en outre acquis que la seule exécution de la peine prononcée en première instance n’aura pas un effet suffisamment dissuasif, dans la mesure où les condamnations antérieures de l’appelant à des peines fermes, notamment pour les mêmes infractions, ne l’ont aucunement détourné de la récidive. L’appelant n’est pour le reste plus recevable à contester sa responsabilité au vu de sa prétendue alcoolisation lors des faits dès lors qu’il n’a pas remis en cause sa culpabilité dans sa déclaration d’appel. Il ne ressort en tout état de cause pas du rapport de son arrestation qu’il était lors de celle-ci dans un état d’ébriété qualifié propre à altérer sa capacité de discernement. Le prévenu ne peut enfin pas s’opposer à la révocation du sursis litigieuse au motif que le montant du jour-amende relatif à la peine concernée, définitive et exécutoire, serait trop élevé. Au vu de ce qui précède, l’appel doit être rejeté.</w:t>
      </w:r>
    </w:p>
    <w:p>
      <w:r>
        <w:rPr>
          <w:b/>
        </w:rPr>
        <w:t>E. 3.1</w:t>
      </w:r>
    </w:p>
    <w:p>
      <w:r>
        <w:t>L'appelant, qui succombe, supportera les frais de la procédure envers l'État, comprenant un émolument de CHF 1'000.- (art. 428 CPP).</w:t>
      </w:r>
    </w:p>
    <w:p>
      <w:r>
        <w:rPr>
          <w:b/>
        </w:rPr>
        <w:t>E. 3.2</w:t>
      </w:r>
    </w:p>
    <w:p>
      <w:r>
        <w:t>Sans la chiffrer ni la motiver, l’appelant conclut, pour la première fois en appel, à une indemnité pour les dépenses occasionnées par l’exercice raisonnable de ses droits de procédure en première instance, qui doit en tout état de cause être rejetée au vu de sa condamnation (art. 429 al. 1 CPP a contrario ). C’est sans compter le fait que l’appelant était pourvu d’un défenseur d’office indemnisé par l’Etat.</w:t>
      </w:r>
    </w:p>
    <w:p>
      <w:r>
        <w:rPr>
          <w:b/>
        </w:rPr>
        <w:t>E. 4</w:t>
      </w:r>
    </w:p>
    <w:p>
      <w:r>
        <w:t>4.1.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le chef d'étude (let. c), débours de l'étude inclus. En cas d'assujettissement, l'équivalent de la TVA est versé en sus.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w:t>
      </w:r>
    </w:p>
    <w:p>
      <w:r>
        <w:rPr>
          <w:b/>
        </w:rPr>
        <w:t>E. 4.2</w:t>
      </w:r>
    </w:p>
    <w:p>
      <w:r>
        <w:t>En l'occurrence, M e B______, défenseur d'office de A______, n'a pas déposé d'état de frais en appel, malgré l'invitation de l'autorité de céans à le faire, de sorte qu'il convient de fixer l'indemnité qui lui est due à ce titre ex aequo et bono . L’activité du défenseur d’office, comprenant pour l’essentiel la rédaction du mémoire d'appel de sept pages et circonscrit à la question de la révocation du sursis litigieuse, ne commandait pas une activité de plus de 3 heures, étant rappelé que les autres prestations telles que la prise de connaissance du jugement entrepris ainsi que la rédaction de l'annonce et de la déclaration d'appel tombent sous le coup du forfait pour activités diverses. Au vu de l’objet de l’appel et du fait que l'appelant n'est pas détenu dans le cadre de la présente cause, un entretien avec ce dernier ne se justifiait au demeurant pas. En conclusion, l'indemnité due à M e B______ en appel sera arrêtée à CHF 775.45, correspondant à 3 heures d'activité au tarif horaire du chef d'Etude de CHF 200.-, y compris la majoration forfaitaire de 20% (CHF 120.-) et la TVA au taux de 7.7% (CHF 55.45).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