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P/14384/2021 vom 7. Dezember 2023</w:t>
      </w:r>
    </w:p>
    <w:p>
      <w:r>
        <w:t>GE Cour de justice, 2023-12-07, FR</w:t>
      </w:r>
    </w:p>
    <w:p>
      <w:r>
        <w:rPr>
          <w:b/>
        </w:rPr>
        <w:t xml:space="preserve">Quelle: </w:t>
      </w:r>
      <w:r>
        <w:t>https://mcp.opencaselaw.ch/entscheid/ge_gerichte_P_14384_2021</w:t>
      </w:r>
    </w:p>
    <w:p>
      <w:r>
        <w:t>FR: GE_GERICHTE P/14384/2021 du 7 décembre 2023</w:t>
      </w:r>
    </w:p>
    <w:p>
      <w:r>
        <w:t>IT: GE_GERICHTE P/14384/2021 del 7 dicembre 2023</w:t>
      </w:r>
    </w:p>
    <w:p>
      <w:pPr>
        <w:pStyle w:val="Heading2"/>
      </w:pPr>
      <w:r>
        <w:t>Erwägungen</w:t>
      </w:r>
    </w:p>
    <w:p>
      <w:r>
        <w:rPr>
          <w:b/>
        </w:rPr>
        <w:t>E. 1</w:t>
      </w:r>
    </w:p>
    <w:p>
      <w:r>
        <w:t>L'appel est recevable pour avoir été interjeté et motivé selon la forme et dans les délais prescrits (art. 398 et 399 CPP).![endif]&gt;![if&gt; La Chambre limite son examen aux violations décrites dans l'acte d'appel (art. 404 al. 1 CPP), sauf en cas de décision illégale ou inéquitable (art. 404 al. 2 CPP).</w:t>
      </w:r>
    </w:p>
    <w:p>
      <w:r>
        <w:rPr>
          <w:b/>
        </w:rPr>
        <w:t>E. 2</w:t>
      </w:r>
    </w:p>
    <w:p>
      <w:r>
        <w:t>2.1.1. Aux termes de l'art. 126 al. 1 let. b CPP, le tribunal statue également sur les conclusions civiles présentées, lorsqu'il acquitte le prévenu et que l'état de fait est suffisamment établi. Conformément à l'art. 126 al. 2 let. d CPP, le tribunal renvoie la partie plaignante à agir par la voie civile lorsque le prévenu est acquitté et que l'état de fait n'a pas été suffisamment établi. Un jugement d'acquittement peut donc aussi bien aboutir à la condamnation du prévenu sur le plan civil qu'au déboutement de la partie plaignante.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Le juge pénal peut néanmoins statuer sur les conclusions civiles, malgré un acquittement, lorsque l'élément constitutif subjectif de l'infraction fait défaut mais que le comportement reproché au prévenu constitue un acte illicite au sens de l'art. 41 du Code des obligations [CO] (ATF 148 IV 432 consid. 3.1.1).![endif]&gt;![if&gt; 2.1.2. À teneur de l'art. 429 al. 1 CPP, si le prévenu est acquitté totalement ou en partie ou s’il bénéficie d’une ordonnance de classement, il a droit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(al. 2). L'art. 429 al. 1 let. b CPP vise essentiellement des pertes de salaire et de gain liées à l'impossibilité de réaliser une activité lucrative en raison du temps consacré à la participation aux audiences ou d'une mise en détention avant jugement (arrêt du Tribunal fédéral 6B_928/2014 du 10 mars 2016 consid. 4.1.1). Afin d'ouvrir le droit à l'indemnité visée par l'art. 429 al. 1 let. c CPP, l'intensité de l'atteinte à la personnalité doit être analogue à celle requise dans le contexte de l'art. 49 CO.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 du Tribunal fédéral 6B_528/2021 du 10 novembre 2022 consid. 3.4).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 du Tribunal fédéral 6B_1374/32021 du 18 janvier 2023 consid. 3.1). Le droit à des dommages et intérêts suppose l'existence d'un lien de causalité adéquate entre le dommage subi et la procédure pénale (FF 2006 1057 p. 1313). Les autorités pénales ne répondent pas du comportement fautif d'autres autorités et n'ont pas non plus à répondre d'un éventuel dommage qui en résulterait (ATF 142 IV 237 consid. 1.5.3 (rapport de causalité adéquate nié entre la procédure pénale et le licenciement matériellement injustifié d'un enseignant)). Ainsi, le responsable n'est tenu de réparer que le dommage qui se trouve dans un rapport de causalité naturelle et adéquate avec l'acte qui fonde sa responsabilité (ATF 142 IV 237 consid. 1.3.1). C'est au prévenu (totalement ou partiellement) acquitté qu'il appartient de prouver le bien-fondé de ses prétentions, conformément à la règle générale du droit de la responsabilité civile selon laquelle la preuve du dommage incombe au demandeur (art. 42 al. 1 CO ; ATF 142 IV 237 consid. 1.3.1). Le prévenu doit ainsi prouver non seulement l'existence et l'étendue du dommage, mais également le lien de causalité entre celui-ci et l'événement à la base de son action (arrêt du Tribunal fédéral 6B_707/2020 du 28 octobre 2020 consid. 1.1). 2.1.3. Tous les êtres humains sont égaux devant la loi (art. 8 al. 1 Cst). Nul ne doit subir de discrimination du fait notamment de son origine ou de sa race (al. 2).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Le principe de non-discrimination n'interdit toutefois pas toute distinction basée sur l'un des critères énumérés à l'art. 8 al. 2 Cst. mais fonde plutôt le soupçon d'une différentiation inadmissible. Les inégalités qui résultent d'une telle distinction doivent dès lors faire l'objet d'une justification particulière (ATF 143 I 129 consid. 2.3.1 ; 137 V 334 consid. 6.2.1 ; cf. Affaire PARASKEVA TODOROVA c. O______, 25 mars 2010, 37193/07 (art. 6 par. 1 et 14 CEDH)).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En matière de discrimination, même lorsque le fardeau de la preuve est allégé, il incombe à celui qui allègue une discrimination de la rendre tout au moins vraisemblable (arrêt du Tribunal fédéral 6B_88/2012 du 17 août 2012 consid. 3.2 et 3.3). 2.1.4.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Selon la jurisprudence, apparaissent comme des carences choquantes une inactivité de treize ou quatorze mois au stade de l'instruction ou encore un délai de dix ou onze mois pour que le dossier soit transmis à l'autorité de recours (ATF 130 IV 54 consid. 3.3.3 ; arrêts du Tribunal fédéral 6B_434/2021 du 7 avril 2022 consid. 1.2 ; 6B_845/2020 du 5 novembre 2020 consid. 2.1). 2.2.1. L'appelante " conteste " certains considérants du jugement de première instance, qu'elle juge incriminants, et requiert que " l'état de fait du jugement soit complété ". Force est de constater, cependant, que sa libération de l'ensemble des infractions poursuivies n'est pas attaquée. Ce point du jugement est entré en force à la date à laquelle il a été rendu et ne peut plus être contesté (art. 402 et 437 al. 1 et 2 CPP ; arrêt du Tribunal fédéral 6B_694/2012 du 27 juin 2013 consid. 1.3 ; L. MOREILLON / A. PAREIN-REYMOND, Petit commentaire, Code de procédure pénale, 2 ème éd., n. 4 ad art. 402). La CPAR n'a donc pas à réévaluer l'acquittement, partant les considérants qui le fondent. 2.2.2. L'appelante a été acquittée du chef de vol à l'encontre de C______, faute de réalisation d'un élément constitutif objectif de l'infraction, soit la soustraction, qui n'est pas établie. Les conditions d'une action civile par adhésion à la procédure pénale font donc défaut et les conclusions civiles doivent être rejetées. Le jugement entrepris, en tant qu'il renvoie la partie plaignante à agir par la voie civile, sera réformé. 2.2.3. L'autorité précédente a à juste titre alloué à l'appelante une indemnité de CHF 400.- correspondant à deux jours de détention provisoire subie à tort. La prévenue a été arrêtée à 14h45 le 19 décembre 2021, avant d'être relaxée à 10h10 le 21 décembre 2021. Le jour étant compté à raison de vingt-quatre heures consécutives (art. 110 al. 6 CP), il n'y a pas lieu de l'indemniser pour plus de quarante-huit heures, ainsi qu'elle le requiert. Le jugement entrepris sera confirmé sur ce point. 2.2.4. La police a expressément mentionné l'origine rom de l'appelante dans son rapport du 20 juillet 2021, en précisant que " certaines femmes rom roumaines " sont connues pour spolier des personnes âgées, faibles et isolées. Cette remarque se focalise sur un groupe minoritaire, les Rom, et, de là, sur l'appelante elle-même. Elle donne l'impression, sinon qu'il a existé, dans le cadre de la procédure pénale, une différence de traitement en défaveur de celle-ci, qu'on l'a considérée comme une personne de moindre valeur. Ce constat fonde le soupçon d'une différenciation inadmissible basée sur l'appartenance ethnique, ce qui viole l'interdiction de discrimination. En revanche, rien n'indique que la saisie des bijoux, en vue de leur analyse et d'une éventuelle corrélation avec des vols, soit liée à l'origine de la prévenue. Le libellé du rapport de police ne le suggère pas. Cela étant, bien que l'assertion de la police soit attentatoire aux droits de la personnalité de l'appelante, celle-ci ne fait pas la démonstration pour autant qu'elle aurait, de ce fait, subi un dommage. Si les témoignages J______ et N______ montrent que la prévenue a souffert de la procédure pénale dirigée contre elle, celle-ci s'étant montrée " émotionnellement dépassée " le 22 juillet 2021, puis " démoralisée et honteuse " en cours de procédure (pénale), il n'appert pas que sa stigmatisation en tant que femme rom, liée à la (seule) remarque de la police, ait entraîné un préjudice en soi, moral en particulier. Les témoins n'en font pas état. L'appelante elle-même ne le soutient pas, n'évoque pas même l'assertion litigieuse aux débats. Il s'ensuit que l'indemnisation réclamée à ce titre ne se justifie pas. Le jugement entrepris sera confirmé sur ce point. 2.2.5. L'existence d'un lien de causalité naturelle entre la procédure pénale et l'interdiction de pénétrer dans le canton de Genève, partant la restriction de déplacement qui s'en est suivie, l'engagement de frais et honoraires d'avocate (TAPI / CJCA / TF) et l'impossibilité de travailler pour D______, doit être tenue pour établie. En effet, cette interdiction (10h20) suit immédiatement la mise en liberté ordonnée par le MP (10h10) et se réfère expressément à l'ordonnance pénale de ce dernier. En revanche, il manque un lien de causalité adéquate entre la procédure pénale et la restriction de circuler, la dette d'honoraires et la perte de gain. L'autorité pénale ne porte pas la responsabilité de la décision subséquente, indépendante, du Commissaire de police. Elle n'a pas à répondre de l'éventuel dommage qui en résulterait. Rien n'indique d'ailleurs que la réaction du Commissaire de police relève d'un comportement fautif. Le TF considère, au contraire, dans l'arrêt rendu dans la présente cause : " Les faits reprochés à la recourante représentent ainsi des motifs suffisants pour prononcer une interdiction de pénétrer dans une région déterminée sur la base de l'art. 74 al. 1 let. a LEI. […] La mesure d'interdiction de périmètre en cause respecte le principe de la proportionnalité (arrêt du Tribunal fédéral 2C_762/2021 du 13 avril 2022 consid. 5.3 et 6.2). Le lien de causalité adéquate fût-il établi qu'il faudrait encore préciser ce qui suit. Même à retenir l'existence d'un rapport contractuel entre D______ et l'appelante, celle-ci aurait pu bénéficier de sauf-conduits supplémentaires – elle en a obtenu neuf – en vue de l'accomplissement de ses heures de travail, de sorte que l'impossibilité de réaliser une activité lucrative n'est pas démontrée. Le TF relevait à ce sujet : " des sauf-conduits pourront et devront être délivrés, si les conditions sont remplies, pour assurer les besoins de base de la recourante, notamment pour se rendre sur un lieu de travail, chez un avocat ou dans un hôpital hors du périmètre fixé " (arrêt du Tribunal fédéral 2C_762/2021 du 13 avril 2022 consid. 6.2). Par ailleurs, rien ne l'empêchait de solliciter l'assistance judiciaire ou de conclure à l'octroi d'une indemnité de procédure par-devant le TAPI, la CJCA, puis le TF, ce qu'elle a d'ailleurs fait parfois, avec succès. Enfin, l'appelante n'a nullement été privée de sa liberté des suites de l'interdiction de pénétrer. La procédure montre qu'elle a pu se rendre en France et, contrairement à ce qu'elle a soutenu aux débats, également en Roumanie durant la période de restriction. Elle a visiblement été absente de Genève d'une date antérieure au 10 septembre 2021 – elle se trouvait à H______ / France – au 9 novembre 2021, date jusqu'à laquelle elle a résidé dans son pays. Comme le relevait le TF, l'appelante " ne peut en effet pas être suivie lorsqu'elle prétend que la présente mesure représente une assignation à un périmètre. En effet, elle n'est pas obligée de rester dans le canton de Genève et peut librement se rendre dans son pays d'origine. L'intensité de l'atteinte sur la liberté engendrée par l'interdiction de périmètre prononcée ne permet pas d'y voir une privation de liberté au sens de l'art. 5 par. 1 CEDH (arrêt du Tribunal fédéral 2C_762/2021 du 13 avril 2022 consid. 7). Il en découle que les conclusions de l'appelante tendant au versement d'indemnités de CHF 1'460.-, CHF 7'211.- et CHF 30'000.- sont infondées. Le jugement entrepris sera confirmé sur ce point. 2.2.6. La procédure n'a pas connu de temps mort. L'appelante aurait souhaité que le MP rende l'ordonnance de classement annoncée plus promptement, dans l'espoir que la décision du Commissaire soit levée dans la foulée. Il n’en demeure pas moins que le dossier n'a jamais été laissé de côté. La période d'inactivité la plus longue est celle séparant l'ordonnance sur opposition, datée du 21 juillet 2022, des débats de première instance, qui se sont tenus le 2 mai 2023. Ces 9 mois et demi ne sont pas constitutifs d'une carence, encore moins choquante. Le principe de célérité n'a pas, par conséquent, été violé.</w:t>
      </w:r>
    </w:p>
    <w:p>
      <w:r>
        <w:rPr>
          <w:b/>
        </w:rPr>
        <w:t>E. 3</w:t>
      </w:r>
    </w:p>
    <w:p>
      <w:r>
        <w:t>L'appel étant très partiellement admis, l'appelante sera condamnée aux 4/5 èmes des frais de la procédure, qui comprennent un émolument de CHF 1'500.- (art. 428 al. 1 CPP et 14 al. 1 let. e RTFMP). Le solde des frais de la procédure (1/5 ème ) sera laissé à la charge de l'État (art. 423 CPP). Il n'y a pas lieu de revoir les frais fixés par l'autorité inférieure (art. 428 al. 3 CPP).</w:t>
      </w:r>
    </w:p>
    <w:p>
      <w:r>
        <w:rPr>
          <w:b/>
        </w:rPr>
        <w:t>E. 4</w:t>
      </w:r>
    </w:p>
    <w:p>
      <w:r>
        <w:t>4.1. Selon l'art. 135 al. 1 CPP, le défenseur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w:t>
      </w:r>
    </w:p>
    <w:p>
      <w:r>
        <w:rPr>
          <w:b/>
        </w:rPr>
        <w:t>E. 4.2</w:t>
      </w:r>
    </w:p>
    <w:p>
      <w:r>
        <w:t>En l'occurrence, il sera fait droit à la demande d'indemnisation de M e B______, sous réserve d'une heure et cinq minutes consacrée à la rédaction de courriers, temps qui s'inscrit dans le forfait de 10%. En conclusion, la rémunération sera arrêtée à CHF 5'885.30 correspondant à 24 heures et 25 minutes d'activité au tarif de CHF 200.-/heure plus la majoration forfaitaire de 10%, l'équivalent de la TVA au taux de 7.7% en CHF 413.60 et CHF 100.- de débours.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