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P/14359/2011 vom 14. April 2016</w:t>
      </w:r>
    </w:p>
    <w:p>
      <w:r>
        <w:t>GE Cour de justice, 2016-04-14, FR</w:t>
      </w:r>
    </w:p>
    <w:p>
      <w:r>
        <w:rPr>
          <w:b/>
        </w:rPr>
        <w:t xml:space="preserve">Quelle: </w:t>
      </w:r>
      <w:r>
        <w:t>https://mcp.opencaselaw.ch/entscheid/ge_gerichte_P_14359_2011</w:t>
      </w:r>
    </w:p>
    <w:p>
      <w:r>
        <w:t>FR: GE_GERICHTE P/14359/2011 du 14 avril 2016</w:t>
      </w:r>
    </w:p>
    <w:p>
      <w:r>
        <w:t>IT: GE_GERICHTE P/14359/2011 del 14 aprile 2016</w:t>
      </w:r>
    </w:p>
    <w:p>
      <w:pPr>
        <w:pStyle w:val="Heading2"/>
      </w:pPr>
      <w:r>
        <w:t>Regeste</w:t>
      </w:r>
    </w:p>
    <w:p>
      <w:r>
        <w:t>PRÉSOMPTION D'INNOCENCE; LÉSION CORPORELLE PAR NÉGLIGENCE; CAUSALITÉ ADÉQUATE; OMISSION DE PRÊTER SECOURS; LÉSION CORPORELLE SIMPLE; ABUS D'AUTORITÉ; FIXATION DE LA PEINE; FRAIS(EN GÉNÉRAL) | CP.34; CP.42; CP.47; CP.49; CP.123; CP.125; CP.128; CP.312; CPP.135; CPP.428; CPP.429</w:t>
      </w:r>
    </w:p>
    <w:p>
      <w:pPr>
        <w:pStyle w:val="Heading2"/>
      </w:pPr>
      <w:r>
        <w:t>Erwägungen</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3.3.1.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3.3.2.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3.4</w:t>
      </w:r>
    </w:p>
    <w:p>
      <w:r>
        <w:t>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En plus du sursis, le juge peut prononcer une peine pécuniaire sans sursis ou une amende selon l'art. 106 CP (al. 4). Ces sanctions entrent en ligne de compte lorsque le juge souhaite prononcer une peine privative de liberté ou pécuniaire avec sursis, mais qu'une sanction semble néanmoins nécessaire, dans un but de prévention spéciale (ATF 135 IV 188 consid. 3.3. p. 189 ; 134 IV 60 consid. 7.3.1 p. 74). 3.5.1. En l'occurrence, la faute de l'appelant B______ ne doit pas être minimisée. Il a utilisé les prérogatives de puissance publique qui lui ont été confiées de manière totalement contraire à ses devoirs. Un tel comportement porte gravement atteinte à la confiance des justiciables en l'Etat de droit. Il s'en est pris par pure méchanceté et esprit chicanier à des personnes vulnérables du fait de leur statut administratif, puis n'a pas hésité à abandonner l'intimé à son sort. La situation personnelle de l'appelant B______ est sans particularité. La difficulté de la profession de policier n'explique nullement les actes reprochés. Il y a concours d'infractions, toutes appelant dans le cas concret le prononcé d'une peine de même genre, atténuée pour tenir compte du peu de gravité des lésions corporelles simples causées. La collaboration à la procédure a été inexistante, toute comme l'est la prise de conscience, l'appelant B______ persistant à nier les faits. Il se refuse à affronter ses responsabilités, ce qui est inquiétant vu sa profession. L'appelant B______ n'a pas d'antécédents, ce qui est toutefois neutre sur la fixation de la peine (ATF 136 IV 1 consid. 2.6). Le premier juge a adéquatement tenu compte de l'ensemble des éléments qui précèdent. Compte tenu de l'acquittement prononcé en appel, la quotité de jours-amende prononcée par le premier juge sera réduite à 210 jours. Le montant du jour-amende arrêté en première instance correspond à la situation financière de l'appelant B______ et sera partant confirmé. Le sursis, dont les conditions sont au demeurant réalisées, lui est acquis (art. 391 al. 2 CPP) et le délai d'épreuve de trois ans n'est pas critiquable. Le prononcé d'une amende à titre de sanction immédiate, non contesté en tant que tel, est justifié. Son montant (CHF 4'500.-) demeure proportionné à la peine pécuniaire révisée. 3.5.2. Les considérations qui précèdent s'appliquent de la même manière à l'appelant A______. Sa faute est de même importance et les circonstances personnelles ne diffèrent pas. Par identité de motifs, l'appelant A______ sera en conséquence condamné à une peine pécuniaire de 210 jours-amende, à CHF 140.- l'unité, ce montant correspondant à sa situation financière, assortie du sursis, délai d'épreuve de trois ans. L'amende de CHF 5'250.- sera confirmée.</w:t>
      </w:r>
    </w:p>
    <w:p>
      <w:r>
        <w:rPr>
          <w:b/>
        </w:rPr>
        <w:t>E. 4.1</w:t>
      </w:r>
    </w:p>
    <w:p>
      <w:r>
        <w:t>Les appelants obtiennent partiellement gain de cause. Ils seront par conséquent condamnés, à raison de la moitié chacun, aux trois quarts des frais de la procédure d'appel, qui comprennent un émolument de décision de CHF 3'000.- (art. 428 al. 1 CPP et 14 al. 1 let. e du Règlement fixant le tarif des frais en matière pénale ; E 4 10.03) et dans la même mesure à ceux de première instance (art. 428 al. 3 et 426 al. 1 CPP).</w:t>
      </w:r>
    </w:p>
    <w:p>
      <w:r>
        <w:rPr>
          <w:b/>
        </w:rPr>
        <w:t>E. 4.2</w:t>
      </w:r>
    </w:p>
    <w:p>
      <w:r>
        <w:t>Dûment invités par le Tribunal de police à déposer d'éventuelles conclusions en indemnisation (art. 429 CPP), les appelants n'ont pas fait valoir de telles prétentions, de sorte qu'il sera considéré qu'ils y ont renoncé (arrêts du Tribunal fédéral 6B_842/2014 du 3 novembre 2014 consid. 2.1 et 6B_472/2012 du 13 novembre 2012 consid. 2.4).</w:t>
      </w:r>
    </w:p>
    <w:p>
      <w:r>
        <w:rPr>
          <w:b/>
        </w:rPr>
        <w:t>E. 5</w:t>
      </w:r>
    </w:p>
    <w:p>
      <w:r>
        <w:t>2.5. Le temps de déplacement de l'avocat est considéré comme nécessaire pour la défense d'office au sens de l'art. 135 CPP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w:t>
      </w:r>
    </w:p>
    <w:p>
      <w:r>
        <w:rPr>
          <w:b/>
        </w:rPr>
        <w:t>E. 5.3</w:t>
      </w:r>
    </w:p>
    <w:p>
      <w:r>
        <w:t>Les frais relatifs à l'assistance judiciaire de la partie plaignante sont assumés en premier lieu par l'Etat. L'art. 426 al. 4 CPP prévoit qu'ils ne peuvent être "mis à la charge du condamné que si celui-ci bénéficie d'une bonne situation économique". Cette disposition est l'équivalent pour l'assistance judiciaire gratuite de l'art. 135 al. 4 CPP qui prévoit que lorsque le prévenu est condamné à supporter les frais de la procédure, il est tenu de rembourser, dès que sa situation financière le permet, à la Confédération ou au canton les frais d'honoraires (let. a). Les conditions matérielles auxquelles le condamné peut être tenu de s'acquitter des frais relatifs à la défense d'office et de ceux de l'assistance judiciaire de la partie plaignante sont identiques (arrêt du Tribunal fédéral 6B_150/2012 du 14 mai 2012 consid. 2.1). 5.4.1. L'état de frais de M e X______ sera admis à concurrence de 9h00 d'activité, soit une réduction d'1h10 correspondant aux activités incluses dans le forfait pour l'activité diverse - lecture de documents -, étant précisé que l'examen du jugement de première instance, qui faisait droit à toutes les conclusions de son mandant, n'impliquait pas de travail particulier. Il convient d'y ajouter 2h30 pour la durée de l'audience et un forfait de CHF 50.- pour la vacation à celle-ci. Aussi, l'indemnité requise sera-t-elle allouée à concurrence de CHF 2'791.80 pour 11h30 d'activité du chef d'étude, plus le forfait vacations par CHF 50.- (CHF 2'350.-), la majoration forfaitaire de 10% vu l'activité déployée en première instance (CHF 235.-) et la TVA (CHF 206.80). 5.4.2. La mise à la charge des appelants des frais de l'assistance judiciaire gratuite de la partie plaignante est justifiée vu leur situation financière confortable. Le montant de ces frais tel qu'il a été arrêté en première instance n'est pas contesté. En tant que frais de la procédure, ces frais d'assistance judiciaire gratuite doivent cependant être mis à la charge des appelants dans la mesure de leur condamnation auxdits frais, soit à raison de trois quarts. Le jugement entrepris sera précisé sur ce point et les frais d'assistance judiciaire gratuite en appel mis à leur charge dans cette proportion.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