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P/14333/2025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https://mcp.opencaselaw.ch/entscheid/ge_gerichte_P_14333_2025</w:t>
      </w:r>
    </w:p>
    <w:p>
      <w:r>
        <w:t>FR: GE_GERICHTE P/14333/2025 du 28 octobre 2025</w:t>
      </w:r>
    </w:p>
    <w:p>
      <w:r>
        <w:t>IT: GE_GERICHTE P/14333/2025 del 28 ottobre 2025</w:t>
      </w:r>
    </w:p>
    <w:p>
      <w:pPr>
        <w:pStyle w:val="Heading2"/>
      </w:pPr>
      <w:r>
        <w:t>Regeste</w:t>
      </w:r>
    </w:p>
    <w:p>
      <w:r>
        <w:t>DROIT D'ÊTRE ENTENDU;ORDONNANCE DE NON-ENTRÉE EN MATIÈRE;ACTE D'USURPATION OU DE TROUBLE;USAGE AUTORISÉ DE LA FORCE;LÉSION CORPORELLE;VOIES DE FAIT;CONTRAINTE(DROIT PÉNAL) | Cst.29.al2; CPP.310; CPP.218; CPP.200; CP.123; CP.126; CP.183; CP.181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du plaignant qui, partie à la procédure (art. 104 al. 1 let. b CPP), a qualité pour agir, ayant un intérêt juridiquement protégé à la modification ou à l'annulation de la décision querellée (art. 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Justifiée, l'ordonnance querellée sera donc confirmée, par substitution de motifs, et, partant, le recours rejeté.</w:t>
      </w:r>
    </w:p>
    <w:p>
      <w:r>
        <w:rPr>
          <w:b/>
        </w:rPr>
        <w:t>E. 6</w:t>
      </w:r>
    </w:p>
    <w:p>
      <w:r>
        <w:t>Le recourant, qui succombe, supportera les frais envers l'État, fixés en totalité à CHF 1'000.- (art. 428 al. 1 CPP et 13 al. 1 du Règlement fixant le tarif des frais en matière pénale, RTFMP ; E 4 10.03).</w:t>
      </w:r>
    </w:p>
    <w:p>
      <w:r>
        <w:rPr>
          <w:b/>
        </w:rPr>
        <w:t>E. 7</w:t>
      </w:r>
    </w:p>
    <w:p>
      <w:r>
        <w:t>Corrélativement, aucun dépens ne lui sera alloué.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