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P/14311/2020 vom 15. Januar 2021</w:t>
      </w:r>
    </w:p>
    <w:p>
      <w:r>
        <w:t>GE Cour de justice, 2021-01-15, FR</w:t>
      </w:r>
    </w:p>
    <w:p>
      <w:r>
        <w:rPr>
          <w:b/>
        </w:rPr>
        <w:t xml:space="preserve">Quelle: </w:t>
      </w:r>
      <w:r>
        <w:t>https://mcp.opencaselaw.ch/entscheid/ge_gerichte_P_14311_2020</w:t>
      </w:r>
    </w:p>
    <w:p>
      <w:r>
        <w:t>FR: GE_GERICHTE P/14311/2020 du 15 janvier 2021</w:t>
      </w:r>
    </w:p>
    <w:p>
      <w:r>
        <w:t>IT: GE_GERICHTE P/14311/2020 del 15 gennaio 2021</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 La recevabilité de la pièce complémentaire peut souffrir de rester indécise, car l'information qu'elle comporte ne change pas l'issue du recours.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avoir mis en évidence des soupçons fondés de gestion déloyale (art. 158 CP), de violation de secrets commerciaux (art. 162 CP), voire " de toute autre infraction applicable, notamment au sens de la LCD " .</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R. PFISTER-LIECHTI (éd.), La procédure pénale fédérale, Fondation pour la formation continue des juges suisses, Berne 2010, p. 62; DCPR/85/2011 du 27 avril 2011).</w:t>
      </w:r>
    </w:p>
    <w:p>
      <w:r>
        <w:rPr>
          <w:b/>
        </w:rPr>
        <w:t>E. 3.2</w:t>
      </w:r>
    </w:p>
    <w:p>
      <w:r>
        <w:t>L'art. 158 CP (gestion déloyale) punit le gérant d'affaires qui - en agissant avec (ch. 1 al. 2) ou sans (ch. 1 al. 1) dessein d'enrichissement illégitime - viole les devoirs auxquels il est tenu et, ce faisant, porte atteinte aux intérêts pécuniaires du tiers pour le compte duquel il intervient. Agit en qualité l'auteur qui revêt le statut de gérant de fortune (M. DUPUIS/ L. MOREILLON/ C. PIGUET/ S. BERGER/ M. MAZOU/ V. RODIGARI (éds), Petit commentaire du CP , Bâle 2017, n. 14 ad art. 158). Cela étant, seul peut commettre un acte de gestion déloyale un gérant d'affaires, soit une personne bénéficiant d'un pouvoir de disposition autonome sur les biens qu'elle administre (arrêt du Tribunal fédéral 6B_819/2018 du 25 janvier 2019 consid. 3.6.1).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et les arrêts cités). Pour qu'il y ait gestion déloyale, il faut que le gérant ait violé une obligation liée à la gestion confiée (ATF 123 IV 17 consid. 3c p. 22),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6B_967/2013 du 21 février 2014, consid. 3.2; 6B_223/2010 du 13 janvier 2011 consid. 3.3.2; arrêt 6B_446/2010 du 14 janvier 2010 consid. 8.4.1).</w:t>
      </w:r>
    </w:p>
    <w:p>
      <w:r>
        <w:rPr>
          <w:b/>
        </w:rPr>
        <w:t>E. 3.3</w:t>
      </w:r>
    </w:p>
    <w:p>
      <w:r>
        <w:t>Aux termes de l'art. 162 CP, se rend coupable de violation du secret de fabrication ou du secret commercial celui qui aura révélé un tel secret alors qu'il était tenu de le garder en vertu d'une obligation légale ou contractuelle (al. 1), ou qui aurait utilisé cette révélation à son profit ou à celui d'un tiers (al. 2). La violation du secret consiste à rendre accessible un secret par celui qui devait le garder. L'exploitation du secret consiste, en revanche, à la mise à profit par un tiers, pour lui-même ou pour autrui, d'une révélation qu'il a reçue en violation du secret. Dans le premier cas de figure, seule la personne détentrice du secret est punissable; dans le second, seul un tiers récipiendaire de la révélation commet un acte illicite (B. CORBOZ, Les infractions en droit suisse , vol. I, 3 e éd., Berne 2010, n. 13 et suivante ad art. 162). Autrement dit, l'application de l'art. 162 CP est exclue lorsque la personne tenue au secret utilise les informations à son propre profit (ATF 109 Ib 47 consid. 5c p. 56 s.).</w:t>
      </w:r>
    </w:p>
    <w:p>
      <w:r>
        <w:rPr>
          <w:b/>
        </w:rPr>
        <w:t>E. 3.4</w:t>
      </w:r>
    </w:p>
    <w:p>
      <w:r>
        <w:t>L'art. 23 al. 1 LCD punit celui qui, intentionnellement, se rend coupable de concurrence déloyale au sens des art. 3, 4, 5 ou 6 de cette loi. Selon l'art. 6 LCD, agit de façon déloyale celui qui, notamment, exploite ou divulgue des secrets de fabrication ou d'affaires qu'il a surpris ou dont il a eu indûment connaissance d'une autre manière.</w:t>
      </w:r>
    </w:p>
    <w:p>
      <w:r>
        <w:rPr>
          <w:b/>
        </w:rPr>
        <w:t>E. 3.5</w:t>
      </w:r>
    </w:p>
    <w:p>
      <w:r>
        <w:t>En dépit de différences terminologiques (secret "commercial" à l'art. 162 CP et secret "d'affaires" à l'art. 6 LCD), il faut admettre que ces deux infractions visent une seule et même notion de secret, ainsi que cela ressort du texte allemand, qui utilise indistinctement le terme "Geschäftsgeheimnis" (cf. A. MACALUSO / L. MOREILLON / N. QUELOZ (éds), Commentaire romand, Code pénal II, vol. II , Partie spéciale : art. 111-392 CP , Bâle 2017, n. 21 ad art. 162). Constitue un secret, au sens de ces dispositions, toute connaissance particulière qui n'est ni de notoriété publique, ni facilement accessible, dont un fabricant ou un commerçant a un intérêt légitime à garder secret et qu'en fait il n'entend pas divulguer (ATF 103 IV 283 consid. 2b p. 284). Par secrets commerciaux, on entend des informations qui peuvent avoir une incidence sur le résultat commercial d'une entreprise, autrement dit sur sa capacité concurrentielle (ATF 142 II 268 consid. 5.2.3 p. 279). En ce sens, une information peut être vue comme secrète à la fois lorsqu'elle est de nature à octroyer un avantage patrimonial à la personne la connaissant, mais également lorsque son caractère secret permet d'éviter des inconvénients (A. MACALUSO / L. MOREILLON / N. QUELOZ (éds), op. cit. , n. 15 ad art. 162). D'ordinaire, un intérêt légitime au secret peut être retenu en lien avec les éléments suivants : les parts de marché d'une entreprise déterminée, les chiffres d'affaires, le calcul des prix, les rabais et primes, les fournisseurs et les clients, l'organisation interne - à l'exclusion toutefois d'un cartel illicite -, les stratégies commerciales et les plans d'entreprise, les listes de clients et autres relations commerciales (ATF 142 II 268 consid. 5.2.4 p. 279; cf. également ATF 109 Ib 47 consid. 5c p. 56; 103 IV 283 consid. 2b p. 284). La doctrine mentionne également les bilans de l'entreprise, ainsi que son bénéfice (M. NIGGLI / H. WIPRÄCHTIGER (éds), Basler Kommentar Strafrecht II : Art. 111-392 StGB , 4 e éd., Bâle 2019, n. 19 ad art. 162; P. JUNG / P. SPITZ (éds), Bundesgesetz gegen den unlauteren Wettbewerb (UWG) , Stämpflis Handkommentar, 2 e éd., Berne 2016, n. 16 ad art. 6).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et al. , op. cit. , n. 23 ss ad art. 162). Dans le cadre de l'art. 23 cum</w:t>
      </w:r>
    </w:p>
    <w:p>
      <w:r>
        <w:rPr>
          <w:b/>
        </w:rPr>
        <w:t>E. 3.6</w:t>
      </w:r>
    </w:p>
    <w:p>
      <w:r>
        <w:t>En l'occurrence, il ressort des propres allégués de la plainte pénale que le mis en cause n'a jamais été soumis à une clause de prohibition de concurrence et ne s'est vu rappeler qu'une astreinte - non pertinente, puisque les gérants de fortune n'y sont pas soumis (cf. art. 321 CP) - au secret "professionnel". Le mis en cause n'a jamais, non plus, occupé la position d'un gérant vis-à-vis de la recourante. Celle-ci se contente de tirer argument de la position hiérarchique élevée du mis en cause dans l'entreprise, mais ne dit rien des actes de gestion dont il aurait été concrètement chargé pour elle , respectivement pour la sauvegarde de ses intérêts pécuniaires propres. De façon significative, elle lui demandait, en accusant réception de sa lettre de démission, de lui signaler les éventuelles autres tâches qu'il exécutait " en dehors de la gestion au sens strict " (sic), tout en ne craignant pas de lui reprocher, dans sa plainte, de s'être tenu à l'écart de la vie de l'entreprise. En d'autres termes, la gestion confiée au mis en cause n'était pas l'entreprise elle-même, mais celle des avoirs de la clientèle. Autre est donc la question de la gestion accomplie pour celle-ci. Ces clients, à bien suivre la recourante (et les pièces qu'elle produit, en particulier les résiliations motivées données par plusieurs d'entre eux), paraissent avoir été plutôt satisfaits du mis en cause, puisque, toujours selon la recourante, ils auraient tous suivi celui-ci chez son nouvel employeur. Par ailleurs, la perte de commissions de gestion, jusque-là encaissées par la recourante, n'est qu'une conséquence indirecte du départ du mis en cause et de la majorité de son portefeuille de clientèle, mais non le résultat d'actes délibérés, visant directement à porter préjudice à l'employeur. En outre, l'utilisation, par le mis en cause, de la liste de clients dont il avait la responsabilité chez la recourante ne signifie pas que cette liste contenait des secrets commerciaux, au sens qui a été défini ci-dessus, et n'équivaut pas à l'exploitation d'une prestation d'autrui (art. 5 let. a LCD; RS 241) ni à une incitation de clients à rompre des contrats (art. 4 let. a LCD). En effet, l'exploitation illicite (art. 5 let. a LCD) d'une liste de clients n'est réalisée qu'autant que le résultat du travail confié est couvert par un secret d'affaires (arrêt du Tribunal fédéral 6B_298/2013 du 16 janvier 2014 consid. 2.2.1). Or, les actes qui ne tombent que sous le coup de la clause générale inscrite à l'art. 2 LCD ne constituent pas des infractions pénales. Il en va ainsi de l'appropriation et de l'exploitation de secrets de fabrication ou d'affaires dont l'auteur a eu connaissance de manière licite, au cours de rapports de travail (arrêt du Tribunal fédéral 6P_137/2006 du 23 novembre 2006 consid. 6.3 et les références). Tel est le cas des clients dont la gestion des avoirs était confiée au mis en cause. À teneur des allégués et des pièces, aucun ne s'est plaint d'avoir été démarché par le mis en cause pour abandonner la recourante en faveur d'une autre société de gestion, et la recourante n'aurait pas d'intérêt juridiquement protégé à se plaindre que leurs données personnelles aient été transmises à cette dernière. 4. Faute de soupçon suffisant (art. 310 al. 1 let. a CPP) et de mesures probatoires aptes à étayer les accusations portées - la recourante n'ayant pas expliqué ce qu'elle attendrait de l'ouverture d'une instruction -, le recours est privé de fondement et doit être rejeté. Vérifier la réalité d'une fuite de vingt-huit clients sur trente-cinq vers le nouvel employeur du mis en cause n'étayerait en rien la prévention pénale. 5. La recourante, qui succombe, supportera les frais envers l'État, qui seront fixés en totalité à CHF 1'500.- (art. 428 al. 1 CPP et 13 al. 1 du Règlement fixant le tarif des frais en matière pénale, RTFMP; E 4 10.03). * * * * *</w:t>
      </w:r>
    </w:p>
    <w:p>
      <w:r>
        <w:rPr>
          <w:b/>
        </w:rPr>
        <w:t>E. 6</w:t>
      </w:r>
    </w:p>
    <w:p>
      <w:r>
        <w:t>LCD, l'existence d'un tel devoir de garder le secret n'est pas pertinente; seul importe que l'auteur accède au secret de manière indue, par exemple par l'affirmation de faits faux, puis l'exploite ou le divulgue (V. MARTENET / P. PICHONNAZ (éds), Commentaire romand : Loi contre la concurrence déloyale , Bâle 2017, n. 17, 21 et 28 ad art. 6; R. HEIZMANN / L. LOACKER (éds), Kommentar zum Bundesgesetz gegen den unlauteren Wettbewerb , Zurich/Saint-Gall 2018, n. 84, 104 ad art. 6). Celui qui acquiert de façon licite la connaissance d'un secret, notamment parce que le secret lui a été confié lors de l'exécution d'un contrat, ne le reçoit pas de manière indue et sa divulgation et son exploitation en violation d'engagements contractuels ne tombe pas sous le coup de l'art. 6 LCD; elle peut en revanche, le cas échéant, engager sa responsabilité contractuelle, selon les art. 97 ss CO, ou pénale selon l'art. 162 CP (C. BAUDENBACHER, Lauterkeitsrecht, Kommentar zum Bundesgesetz gegen den unlauteren Wettbewerb , n. 59 ad art. 6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