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P/14279/2018 vom 3. Juni 2019</w:t>
      </w:r>
    </w:p>
    <w:p>
      <w:r>
        <w:t>GE Cour de justice, 2019-06-03, FR</w:t>
      </w:r>
    </w:p>
    <w:p>
      <w:r>
        <w:rPr>
          <w:b/>
        </w:rPr>
        <w:t xml:space="preserve">Quelle: </w:t>
      </w:r>
      <w:r>
        <w:t>https://mcp.opencaselaw.ch/entscheid/ge_gerichte_P_14279_2018</w:t>
      </w:r>
    </w:p>
    <w:p>
      <w:r>
        <w:t>FR: GE_GERICHTE P/14279/2018 du 3 juin 2019</w:t>
      </w:r>
    </w:p>
    <w:p>
      <w:r>
        <w:t>IT: GE_GERICHTE P/14279/2018 del 3 giugno 2019</w:t>
      </w:r>
    </w:p>
    <w:p>
      <w:pPr>
        <w:pStyle w:val="Heading2"/>
      </w:pPr>
      <w:r>
        <w:t>Regeste</w:t>
      </w:r>
    </w:p>
    <w:p>
      <w:r>
        <w:t>RISQUE DE FUITE ; EXÉCUTION DES PEINES ET DES MESURES ; DÉLÉGATION DE LA POURSUITE PÉNALE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Le passage, dans l'intervalle, en détention à des fins de sûreté ne rend pas le recours sans objet, sauf à faire preuve d'un formalisme excessif fondé sur la substitution d'un titre de détention par un autre, périmé.</w:t>
      </w:r>
    </w:p>
    <w:p>
      <w:r>
        <w:rPr>
          <w:b/>
        </w:rPr>
        <w:t>E. 2</w:t>
      </w:r>
    </w:p>
    <w:p>
      <w:r>
        <w:t>Le recourant consacre tout son mémoire à contester les risques de fuite, réitération et collusion. À la différence de sa demande de mise en liberté, qui n'explicitait d'ailleurs guère quel degré de participation pénale il faudrait entendre par son rôle prétendu de « simple technicien », il ne s'exprime pas sur les charges retenues contre lui. Il n'y a d'autant moins à s'y attarder (art. 385 al. 1 CPP) que, à l'attention du premier juge, il a expressément déclaré ne pas contester les faits (prise de position du 3 juin 2019, p. 1).</w:t>
      </w:r>
    </w:p>
    <w:p>
      <w:r>
        <w:rPr>
          <w:b/>
        </w:rPr>
        <w:t>E. 3</w:t>
      </w:r>
    </w:p>
    <w:p>
      <w:r>
        <w:t>Le recourant nie tout risque de fuite, au motif qu'il obtiendrait avec une « forte probabilité » un sursis ou la libération conditionnelle, de sorte qu'il avait intérêt à se présenter au jugement. À supposer qu'il ne comparaisse pas aux débats, la France, dont il est ressortissant, pourrait se charger d'exécuter la sanction.</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 Peu importe que l'extradition du prévenu puisse éventuellement être obtenue (ATF 123 I 31 consid. 3d p. 36 s.).</w:t>
      </w:r>
    </w:p>
    <w:p>
      <w:r>
        <w:rPr>
          <w:b/>
        </w:rPr>
        <w:t>E. 3.2</w:t>
      </w:r>
    </w:p>
    <w:p>
      <w:r>
        <w:t>À l'aune de ces principes et rappels, c'est en vain que le recourant prétend que sa détention ne pourrait pas être fondée sur un risque de fuite vers son pays d'origine. Maintenant que l'accusation a été engagée, il pourrait être tenté, plus encore qu'auparavant, de mettre une frontière entre lui et l'État qui le poursuit. Pour le surplus, il ne tente même pas de démontrer un lien quelconque, autre que délictuel, avec la Suisse. La question d'une délégation de l'exécution de la peine à la France, dont le recourant est ressortissant, est prématurée, puisque, précisément, aucun jugement n'a été rendu contre lui. Les bases légales ou conventionnelles citées dans le recours ne disent encore rien d'un assentiment de la France, singulièrement si le recourant devait être condamné par défaut en Suisse. L'actualité relativement récente sur une question identique vient tempérer les certitudes du recourant (cf. réponse du Conseil fédéral à la motion 15.3510, https://www.parlament.ch/fr/ratsbetrieb/suche-curia-vista/geschaeft?AffairId=20153510, et l'arrêt du Tribunal fédéral 1B_416/2017 du 19 octobre 2017 consid. 2.2.). Partant, c'est à bon droit que le danger de fuite a été retenu par le TMC.</w:t>
      </w:r>
    </w:p>
    <w:p>
      <w:r>
        <w:rPr>
          <w:b/>
        </w:rPr>
        <w:t>E. 4</w:t>
      </w:r>
    </w:p>
    <w:p>
      <w:r>
        <w:t>Le recourant propose des sûretés à hauteur de CHF 15'000.-. Pas plus que devant le premier juge, il ne fournit d'élément explicitant l'origine et le chiffrage de ce montant. Or, le prévenu qui, à son instar, ne coopère pas sur cette question s'expose à ce que le juge de la détention n'entre pas en matière (arrêt du Tribunal fédéral 1B_388/2015 du 3 décembre 2015 consid. 2.4.3.). Ainsi en va-t-il en l'espèce.</w:t>
      </w:r>
    </w:p>
    <w:p>
      <w:r>
        <w:rPr>
          <w:b/>
        </w:rPr>
        <w:t>E. 5</w:t>
      </w:r>
    </w:p>
    <w:p>
      <w:r>
        <w:t>Vu l'admission du risque de fuite, il est inutile d'examiner si les autres risques retenus sont réalisés. Point n'est donc besoin, non plus, d'examiner si l'interdiction de contact, à laquelle il est conclu, atténuerait tout risque collusoire.</w:t>
      </w:r>
    </w:p>
    <w:p>
      <w:r>
        <w:rPr>
          <w:b/>
        </w:rPr>
        <w:t>E. 6</w:t>
      </w:r>
    </w:p>
    <w:p>
      <w:r>
        <w:t>En augurant d'ores et déjà de sa libération conditionnelle, le recourant paraît trouver excessive la durée de sa détention avant jugement.</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w:t>
      </w:r>
    </w:p>
    <w:p>
      <w:r>
        <w:rPr>
          <w:b/>
        </w:rPr>
        <w:t>E. 6.2</w:t>
      </w:r>
    </w:p>
    <w:p>
      <w:r>
        <w:t>En l'occurrence, si le recourant devait être reconnu coupable des quarante-trois chefs d'accusation récapitulés le 21 mai 2019, la peine susceptible d'entrer concrètement en considération ne paraît pas devoir être inférieure à la durée de sa privation actuelle de liberté (art. 212 al. 3 CPP) - de bientôt onze mois -, étant relevé que la seule infraction d'escroquerie par métier (ou d'usure par métier) est passible d'une peine privative de liberté de dix ans au plus. L'accusation ayant été engagée par-devant le tribunal de première instance, le jugement ne devrait plus tarder. Pour le surplus, le juge de la détention n'a pas à tenter de pronostiquer la peine pour s'aventurer sur le terrain d'une libération conditionnelle, mesure qui ne dépend pas uniquement de l'accomplissement des deux tiers d'une peine privative de liberté (cf. art. 86 CP).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