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P/14276/2023 vom 2. November 2023</w:t>
      </w:r>
    </w:p>
    <w:p>
      <w:r>
        <w:t>GE Cour de justice, 2023-11-02, FR</w:t>
      </w:r>
    </w:p>
    <w:p>
      <w:r>
        <w:rPr>
          <w:b/>
        </w:rPr>
        <w:t xml:space="preserve">Quelle: </w:t>
      </w:r>
      <w:r>
        <w:t>https://mcp.opencaselaw.ch/entscheid/ge_gerichte_P_14276_2023</w:t>
      </w:r>
    </w:p>
    <w:p>
      <w:r>
        <w:t>FR: GE_GERICHTE P/14276/2023 du 2 novembre 2023</w:t>
      </w:r>
    </w:p>
    <w:p>
      <w:r>
        <w:t>IT: GE_GERICHTE P/14276/2023 del 2 novembre 2023</w:t>
      </w:r>
    </w:p>
    <w:p>
      <w:pPr>
        <w:pStyle w:val="Heading2"/>
      </w:pPr>
      <w:r>
        <w:t>Regeste</w:t>
      </w:r>
    </w:p>
    <w:p>
      <w:r>
        <w:t>ABUS D'AUTORITÉ;MINISTÈRE PUBLIC;RÉCUSATION | CPP.310; CPP.312; CPP.324; CPP.56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de ne pas être entré en matière sur sa plainte visant la Procureure B______.![endif]&gt;![if&gt;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w:t>
      </w:r>
    </w:p>
    <w:p>
      <w:r>
        <w:rPr>
          <w:b/>
        </w:rPr>
        <w:t>E. 3.2</w:t>
      </w:r>
    </w:p>
    <w:p>
      <w:r>
        <w:t>L'art. 312 CP réprime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3.3</w:t>
      </w:r>
    </w:p>
    <w:p>
      <w:r>
        <w:t>En l'espèce, à suivre le recourant, l'acte d'accusation rédigé par la Procureure B______ dans la P/1______/2020 était inique en tant qu'il ne tenait pas compte de sa version des faits survenus le 26 mars 2020, dans sa plainte. Il invoquait en outre plusieurs violations procédurales dans cette affaire. Or, il se contente de reprendre ici ses précédents griefs, auxquels le Procureur général a répondu de manière détaillée dans son ordonnance. Cette dernière est exempte de critique. Comme relevé par le Procureur général, le recourant a été assisté d'un conseil tout du long dans la procédure P/1______/2020 et à aucun moment n'a émis le moindre grief sur la manière dont l'instruction était menée. Les éventuels griefs procéduraux en lien avec cette affaire doivent être soulevés dans le cadre de celle-ci. Il appartiendra ensuite au recourant de présenter sa version des faits au juge du fond amené à statuer sur l'acte d'accusation, étant rappelé qu'un tel acte n'est pas susceptible de recours (art. 324 al. 2 CPP). Que cet acte ne lui convienne pas ne rend pas la Procureure suspecte d'avoir abusé de son autorité à son endroit. L'existence d'un complot impliquant des autorités vaudoises et un collaborateur du Ministère public n'est en outre étayée par aucun indice. Enfin, on ne voit pas en quoi la Procureure, qui a simplement fait usage de ses prérogatives (art. 61 let. a, 62 al. 1 et 324 al. 1 CPP), chercherait à lui nuire. Partant, c'est à bon droit que le Ministère public n'est pas entré en matière sur la plainte, faute de prévention suffisante.</w:t>
      </w:r>
    </w:p>
    <w:p>
      <w:r>
        <w:rPr>
          <w:b/>
        </w:rPr>
        <w:t>E. 4</w:t>
      </w:r>
    </w:p>
    <w:p>
      <w:r>
        <w:t>Justifiée, l'ordonnance querellée sera donc confirmée.</w:t>
      </w:r>
    </w:p>
    <w:p>
      <w:r>
        <w:rPr>
          <w:b/>
        </w:rPr>
        <w:t>E. 5</w:t>
      </w:r>
    </w:p>
    <w:p>
      <w:r>
        <w:t>Le rejet du recours rend sans objet la demande de récusation du Procureur général F______ chargé de la présente procédure. On ne pourrait de toute manière pas voir de prévention du magistrat dans le simple fait d'avoir prononcé une décision défavorable au recourant (ATF 139 III 120 consid. 3.2.1 p. 124; arrêts du Tribunal fédéral 6B_1424/2017 du 18 juin 2018 consid. 3.2; 6B_1238/2016 du 25 septembre 2017 consid. 4.1), ce dernier ne développant aucun grief au sens de l'art. 56 CPP, se limitant à invoquer n'avoir pas confiance en lui.</w:t>
      </w:r>
    </w:p>
    <w:p>
      <w:r>
        <w:rPr>
          <w:b/>
        </w:rPr>
        <w:t>E. 6</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