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P/1426/2025 vom 21. Mai 2025</w:t>
      </w:r>
    </w:p>
    <w:p>
      <w:r>
        <w:t>GE Cour de justice, 2025-05-21, FR</w:t>
      </w:r>
    </w:p>
    <w:p>
      <w:r>
        <w:rPr>
          <w:b/>
        </w:rPr>
        <w:t xml:space="preserve">Quelle: </w:t>
      </w:r>
      <w:r>
        <w:t>https://mcp.opencaselaw.ch/entscheid/ge_gerichte_P_1426_2025</w:t>
      </w:r>
    </w:p>
    <w:p>
      <w:r>
        <w:t>FR: GE_GERICHTE P/1426/2025 du 21 mai 2025</w:t>
      </w:r>
    </w:p>
    <w:p>
      <w:r>
        <w:t>IT: GE_GERICHTE P/1426/2025 del 21 maggio 2025</w:t>
      </w:r>
    </w:p>
    <w:p>
      <w:pPr>
        <w:pStyle w:val="Heading2"/>
      </w:pPr>
      <w:r>
        <w:t>Regeste</w:t>
      </w:r>
    </w:p>
    <w:p>
      <w:r>
        <w:t>PRINCIPE DE LA CÉLÉRITÉ;PROCÉDURE CIVILE;SUSPENSION DE LA PROCÉDURE | CPP.314; CPP.5; Cst.29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314 al. 5, 322 al. 2 et 393 al. 1 let. a CPP; ACPR/323/2014 du 1 er juillet 2014 consid. 1; ACPR/419/2015 du 11 août 2015 consid. 1 et 2.1)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considère que c'est à tort que le Ministère public a suspendu la présente procédure. 3.1.1. Selon l'art. 314 al. 1 let. b CPP, le ministère public peut suspendre l'instruction, notamment,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Celle-ci ne se justifie toutefois que si le résultat de l'autre procédure peut véritablement jouer un rôle pour le résultat de la procédure pénale suspendue, et s'il simplifiera de manière significative l'administration des preuves dans cette même procédure (arrêts du Tribunal fédéral 1B_238/2015 du 5 septembre 2018 consid. 2.1 et 1B_421/2012 du 19 juin 2013 consid. 2.1). La suspension ne doit pas avoir pour effet de retarder de manière injustifiée la procédure en cours (A. KUHN / Y. JEANNERET / C. PERRIER DEPEURSINGE (éds), Commentaire romand : Code de procédure pénale suisse , 2 ème éd., Bâle 2019, n. 13 ad art. 314). 3.1.2.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1B_163/2014 du 18 juillet 2014 consid. 2.2; 1B_421/2012 du 19 juin 2013 consid. 2.3). Dans les cas limites ou douteux, le principe de célérité prime (ATF 130 V 90 consid. 5; arrêt du Tribunal fédéral 1B_238/2018 du 5 septembre 2018 consid. 2.1 et les réf. citées). 3.2.1. En vertu de l'art. 146 CP, se rend coupable d'escroquerie quiconque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Une tromperie au sens de l'art. 146 CP peut notamment se rapporter à la volonté d'exécuter un contrat (ATF 118 IV 359 consid. 2 p. 361; arrêt du Tribunal fédéral 6B_584/2018 du 30 août 2018 consid. 2.1). L'escroquerie au procès constitue un cas particulier d'escroquerie. Elle consiste à tromper astucieusement le juge aux fins de le déterminer à rendre une décision – matériellement fausse – préjudiciable au patrimoine de la partie adverse ou d'un tiers (ATF 122 IV 197 consid. 2; arrêt du Tribunal fédéral 6B_510/2020 du 15 septembre 2020 consid. 3.3). L'escroquerie au procès tombe sous le coup de l'art. 146 CP moyennant la réalisation de l'ensemble des éléments constitutifs objectifs et subjectifs de cette disposition (ATF 122 IV 197 consid. 2d; arrêt 6B_751/2018 précité consid. 1.4.3). 3.2.2. L'art. 306 CP réprime quiconque, étant partie dans un procès civil, donne sur les faits de la cause, après avoir été expressément invité par le juge à dire la vérité et rendu attentif aux suites pénales, une fausse déclaration constituant un moyen de preuve.</w:t>
      </w:r>
    </w:p>
    <w:p>
      <w:r>
        <w:rPr>
          <w:b/>
        </w:rPr>
        <w:t>E. 3.3</w:t>
      </w:r>
    </w:p>
    <w:p>
      <w:r>
        <w:t>En l'espèce, la recourante et C______ SA, respectivement E______ AS, s'opposent dans un litige civil – pendant devant la Cour de justice de Genève – portant sur diverses prétentions en relation avec un prétendu contrat de courtage les ayant liées. Ainsi, la recourante réclame divers montants de nature contractuelle alors que les parties défenderesses nient l'existence d'un quelconque accord. Les éléments constitutifs de l'infraction d'escroquerie dénoncée par la recourante dans sa plainte pénale dépendent ainsi en grande partie, du bien fondé de ses prétentions civiles. En effet, on ne voit pas en quoi il y aurait une tromperie astucieuse sur la volonté d'exécuter un contrat, au cas où le juge civil conclurait qu'il n'y a pas d'accord. Il apparaît ainsi que, contrairement à l'opinion de la recourante, le résultat de la procédure civile peut véritablement jouer un rôle pour le résultat de la procédure pénale. En outre, les faits retenus par la juridiction civile, même s'ils ne lieront pas la juridiction pénale, simplifieront de manière significative l'administration des preuves, étant précisé que le TPI a déjà procédé à l'audition des parties et des témoins. Que la plainte pénale soit également déposée contre inconnu – soit des éventuels complices du mis en cause – ne change rien, dans la mesure où pour que l'issue d'une procédure pénale dépende d'un autre procès, il ne faut pas nécessairement que les procédures portent sur les mêmes personnes (cf. arrêt du Tribunal fédéral 1B_721/2011 du 7 mars 2012 consid. 3.4). De même, savoir comment les dépositions orales ou écrites du mis en cause seront prises en compte par le juge civil permettra d'apprécier leur éventuelle fausseté et d'examiner ainsi si les éléments constitutifs d'une fausse déclaration d'une partie en justice, respectivement d'une escroquerie au procès, devraient être réalisés. Partant, il semble tout à fait indiqué d'attendre l'issue de la procédure civile – déjà bien avancée – avant d'instruire la plainte de la recourante. S'agissant du principe de la célérité, on relèvera que la plainte pénale a été déposée plus de six ans après le dépôt de la demande en paiement, ce qui démontre que la voie pénale n'est pas celle que la recourante entendait privilégier. Partant, elle ne saurait maintenant invoquer, pour donner une priorité nouvelle au débat pénal, voire alimenter le dossier civil, le principe de la célérité, puisqu'elle avait elle-même renoncé à la voie pénale, montrant ainsi que le respect de ce principe n'était, pour elle, pas prioritaire. L'éventuel retard sera largement contrebalancé par la possibilité d'éclairer de manière décisive les faits de la cause et, ainsi, de ne pas procéder inutilement à des actes d'instruction. En tout état, les premiers faits dénoncés remontant, selon la recourante, à septembre 2012, l'infraction d'escroquerie – se prescrivant par quinze ans (art. 146 cum 97 al. 1 let. b CP) – n'est pas encore sur le point de se prescrire. Rien ne permet non plus de redouter que la procédure civile ne puisse se poursuivre et s'achever dans des délais raisonnables. S'il devait en aller différemment, le Ministère public pourrait alors être amené à reprendre la procédure pénale. Il résulte de ce qui précède que la décision querellée, prise dans le cadre du large pouvoir d'appréciation du Ministère public, sera confirmée.</w:t>
      </w:r>
    </w:p>
    <w:p>
      <w:r>
        <w:rPr>
          <w:b/>
        </w:rPr>
        <w:t>E. 4</w:t>
      </w:r>
    </w:p>
    <w:p>
      <w:r>
        <w:t>La recourante, qui succombe, supportera les frais envers l'État, qui seront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