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P/14265/2025 vom 20. August 2025</w:t>
      </w:r>
    </w:p>
    <w:p>
      <w:r>
        <w:t>GE Cour de justice, 2025-08-20, FR</w:t>
      </w:r>
    </w:p>
    <w:p>
      <w:r>
        <w:rPr>
          <w:b/>
        </w:rPr>
        <w:t xml:space="preserve">Quelle: </w:t>
      </w:r>
      <w:r>
        <w:t>https://mcp.opencaselaw.ch/entscheid/ge_gerichte_P_14265_2025</w:t>
      </w:r>
    </w:p>
    <w:p>
      <w:r>
        <w:t>FR: GE_GERICHTE P/14265/2025 du 20 août 2025</w:t>
      </w:r>
    </w:p>
    <w:p>
      <w:r>
        <w:t>IT: GE_GERICHTE P/14265/2025 del 20 agosto 2025</w:t>
      </w:r>
    </w:p>
    <w:p>
      <w:pPr>
        <w:pStyle w:val="Heading2"/>
      </w:pPr>
      <w:r>
        <w:t>Regeste</w:t>
      </w:r>
    </w:p>
    <w:p>
      <w:r>
        <w:t>DÉTENTION PROVISOIRE;RISQUE DE FUITE;RISQUE DE COLLUSION;INTÉRÊT JURIDIQUEMENT PROTÉGÉ | CPP.221</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 effet, quand bien même l'ordonnance du 19 septembre 2025 prolonge désormais la détention provisoire du recourant jusqu'au 22 novembre 2025, le recourant dispose toujours d'un intérêt juridique actuel à l'examen des conditions de sa demande de mise en liberté provisoire, ladite ordonnance maintenant l'intéressé en détention pour des motifs identiques à ceux qu'il y a lieu d'examiner dans le cadre du présent recours ( ACPR/224/2020 du 15 avril 2020 et les autres arrêts cités).</w:t>
      </w:r>
    </w:p>
    <w:p>
      <w:r>
        <w:rPr>
          <w:b/>
        </w:rPr>
        <w:t>E. 1.2</w:t>
      </w:r>
    </w:p>
    <w:p>
      <w:r>
        <w:t>Les pièces nouvelles sont par ailleurs recevables (arrêt du Tribunal fédéral 1B_550/2022 du 17 novembre 2022 consid. 2).</w:t>
      </w:r>
    </w:p>
    <w:p>
      <w:r>
        <w:rPr>
          <w:b/>
        </w:rPr>
        <w:t>E. 2</w:t>
      </w:r>
    </w:p>
    <w:p>
      <w:r>
        <w:t>Le recourant ne discute pas la gravité et la suffisance des charges retenues contre lui, de sorte qu'il n'y a pas lieu d'y revenir.</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de nationalité française, réside certes en Suisse depuis de nombreuses années et perçoit dans notre pays des prestations sociales. Il n'en demeure pas moins qu'il n'y a aucune attache familiale, sa mère et son père vivant en France voisine. La possibilité qu'il rejoigne ses parents en France, pays qui n'extrade pas ses ressortissants, afin de se soustraire à la sanction ou à la mesure qui seront éventuellement infligées n'apparaît ainsi pas totalement exclue à ce stade. Même si ce risque semble ténu, compte tenu de la volonté aujourd'hui affichée par l'intéressé de vouloir se soigner et poursuivre son traitement psychiatrique et médicamenteux à Genève, il subsiste néanmoins. Quant aux mesures de substitution proposées par le recourant pour le pallier, soit une assignation à résidence et l'obligation de se présenter régulièrement à un poste de police, elles n'apparaissent pas suffisantes en tant qu'elles n'empêcheraient pas sa fuite ou sa disparition dans la clandestinité mais ne permettraient que de les constater a posteriori .</w:t>
      </w:r>
    </w:p>
    <w:p>
      <w:r>
        <w:rPr>
          <w:b/>
        </w:rPr>
        <w:t>E. 4</w:t>
      </w:r>
    </w:p>
    <w:p>
      <w:r>
        <w:t>Le recourant conteste le risque de réitération.</w:t>
      </w:r>
    </w:p>
    <w:p>
      <w:r>
        <w:rPr>
          <w:b/>
        </w:rPr>
        <w:t>E. 4.1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 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rPr>
          <w:b/>
        </w:rPr>
        <w:t>E. 4.3</w:t>
      </w:r>
    </w:p>
    <w:p>
      <w:r>
        <w:t>En l'occurrence, les faits ici reprochés au recourant ont été commis alors qu'il était apparemment déjà suivi par le CAPPI H______ pour ses troubles bipolaires, ce qui semble contredire ses propres déclarations selon lesquelles les faits s'étaient produits "en l'absence de tout traitement approprié" (cf. observations du recourant au TMC, du 15 août 2025, p. 1). Le recourant lui-même ne parvient pas à expliquer pour quelle raison il a agi, expliquant seulement que c'était en lien avec sa maladie. Il existe ainsi un risque concret que le recourant, s'il était remis en liberté, porte à nouveau atteinte à l'intégrité physique de personnes croisées au hasard dans la rue, étant rappelé qu'il a agi de manière similaire à l'époque, ce qui lui a valu une condamnation, le 6 février 2023, pour lésions corporelles simples. Le recourant prétend que ses troubles, dont il aurait pris conscience, se seraient stabilisés en détention, grâce au traitement médicamenteux et psychiatrique prodigué. S'agissant tout d'abord de sa prise de conscience, elle doit être nuancée, la lettre de sortie de l'UHPP faisant état d'une adhésion partielle et d'une anosognosie persistante. Ensuite, si selon le certificat médical du 29 août 2025 produit, son état de santé évoluait apparemment favorablement en détention, rien n'indique qu'il en irait de même hors du cadre strict de Champ-Dollon. L'engagement du recourant de poursuivre dans cette voie à sa sortie est certes louable mais ne suffit donc pas à ce stade, tout comme le fait que sa mère veillerait à ce qu'il prenne bien son traitement. En outre, une nouvelle décompensation une fois en liberté reste toujours possible, compte tenu de la mise en œuvre récente du traitement, d'une part, et du fait que le déclencheur du passage à l'acte n'est pas encore connu. En définitive, seule l'expertise psychiatrique ordonnée permettra d'éclairer la pathologie dont souffre le recourant, le mécanisme de passage à l'acte ainsi que d'évaluer l'étendue du risque de récidive et, le cas échéant, d'énoncer les mesures aptes à le pallier efficacement. Partant, les mesures de substitution proposées par le recourant, à savoir l'obligation de poursuivre son traitement médical et de maintenir un suivi psychologique régulier auprès du CAPPI, ne sont pas suffisantes.</w:t>
      </w:r>
    </w:p>
    <w:p>
      <w:r>
        <w:rPr>
          <w:b/>
        </w:rPr>
        <w:t>E. 5</w:t>
      </w:r>
    </w:p>
    <w:p>
      <w:r>
        <w:t>La durée de la détention provisoire subie en l'état est proportionnée à la peine concrètement encourue, si les faits reprochés au recourant devaient être confirmés.</w:t>
      </w:r>
    </w:p>
    <w:p>
      <w:r>
        <w:rPr>
          <w:b/>
        </w:rPr>
        <w:t>E. 6</w:t>
      </w:r>
    </w:p>
    <w:p>
      <w:r>
        <w:t>Le recours s'avère ainsi infondé et sera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2. En l'occurrence, quand bien même le recourant succombe, on peut admettre que l'exercice du présent recours ne procède pas d'un abus. L'indemnité du défenseur d'office sera fixée à la fin de la procédure (art. 135 al. 2 CPP). * * * * *</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