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P/14208/2007 vom 14. April 2008</w:t>
      </w:r>
    </w:p>
    <w:p>
      <w:r>
        <w:t>GE Cour de justice, 2008-04-14, FR</w:t>
      </w:r>
    </w:p>
    <w:p>
      <w:r>
        <w:rPr>
          <w:b/>
        </w:rPr>
        <w:t xml:space="preserve">Quelle: </w:t>
      </w:r>
      <w:r>
        <w:t>https://mcp.opencaselaw.ch/entscheid/ge_gerichte_P_14208_2007</w:t>
      </w:r>
    </w:p>
    <w:p>
      <w:r>
        <w:t>FR: GE_GERICHTE P/14208/2007 du 14 avril 2008</w:t>
      </w:r>
    </w:p>
    <w:p>
      <w:r>
        <w:t>IT: GE_GERICHTE P/14208/2007 del 14 aprile 2008</w:t>
      </w:r>
    </w:p>
    <w:p>
      <w:pPr>
        <w:pStyle w:val="Heading2"/>
      </w:pPr>
      <w:r>
        <w:t>Regeste</w:t>
      </w:r>
    </w:p>
    <w:p>
      <w:r>
        <w:t>; CIRCULATION ROUTIÈRE(DROIT DE LA CIRCULATION ROUTIÈRE) ; LÉSION CORPORELLE PAR NÉGLIGENCE | CP.125</w:t>
      </w:r>
    </w:p>
    <w:p>
      <w:pPr>
        <w:pStyle w:val="Heading2"/>
      </w:pPr>
      <w:r>
        <w:t>Erwägungen</w:t>
      </w:r>
    </w:p>
    <w:p>
      <w:r>
        <w:rPr>
          <w:b/>
        </w:rPr>
        <w:t>E. 1</w:t>
      </w:r>
    </w:p>
    <w:p>
      <w:r>
        <w:t>L'appel est recevable pour avoir été déposé selon la forme et dans le délai prescrits (art. 241 et 242 CPP).</w:t>
      </w:r>
    </w:p>
    <w:p>
      <w:r>
        <w:rPr>
          <w:b/>
        </w:rPr>
        <w:t>E. 2.1</w:t>
      </w:r>
    </w:p>
    <w:p>
      <w:r>
        <w:t>Aux termes de l'art. 125 CP, se rend coupable de lésions corporelles par négligence celui qui, par négligence, aura fait subir à une personne une atteinte à l'intégrité corporelle ou à la santé. En d'autres termes, cette disposition suppose l'existence de lésions corporelles, une violation des devoirs de prudence, un rapport de causalité entre le comportement de l'auteur et l'atteinte à l'intégrité corporelle ou à la santé, et une négligence.</w:t>
      </w:r>
    </w:p>
    <w:p>
      <w:r>
        <w:rPr>
          <w:b/>
        </w:rPr>
        <w:t>E. 2.2</w:t>
      </w:r>
    </w:p>
    <w:p>
      <w:r>
        <w:t>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(art. 18 al. 3 CP). Pour qu'il y ait négligence, il faut que l'auteur ait, d'une part, violé les règles de prudence que les circonstances lui imposaient ( ) et que, d'autre part, il n'ait pas déployé l'attention et les efforts qu'on pouvait attendre de lui pour se conformer à son devoir de prudence (ATF 121 IV 207 , consid. 2.a). Pour déterminer plus précisément quels étaient les devoirs juridiques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(ATF 133 IV 158 , consid. 5.1; ATF du 1 er juillet 2008, 6B.377/2008 , consid. 3.2). Il faut encore que la violation des devoirs de la prudence puisse être imputée à faute, c'est-à-dire que compte tenu de ses circonstances personnelles, l'on puisse reprocher à l'auteur d'avoir fait preuve d'un manque d'effort blâmable. En outre, un rapport de causalité doit exister entre la violation fautive du devoir de prudence et le résultat dommageable. Un comportement est la cause naturelle d'un résultat s'il en constitue l'une des conditions sine qua non. Lorsque la causalité naturelle est retenue, il faut encore se demander si le rapport de causalité peut être qualifié d'adéquat, c'est-à-dire si le comportement était propre d'après le cours ordinaire des chose et l'expérience de la vie, à entraîner un résultat du genre de celui qui s'est produit (ATF 122 IV 17 ). Pour en juger, il convient d'examiner le déroulement des faits et l'ensemble des circonstances en s'interrogeant sur la normalité, la probabilité et la prévisibilité des évènements.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I, Berne 2002, n° 47 ss ad art. 117 CP les références citées).</w:t>
      </w:r>
    </w:p>
    <w:p>
      <w:r>
        <w:rPr>
          <w:b/>
        </w:rPr>
        <w:t>E. 2.3</w:t>
      </w:r>
    </w:p>
    <w:p>
      <w:r>
        <w:t>En matière de circulation routière, on se référera donc aux règles de la circulation routière. La norme principale et générale prescrit que chacun doit se comporter, dans la circulation, de manière à ne pas gêner ni mettre en danger ceux qui utilisent la route conformément aux règles établies (art. 26 al. 1 LCR). Chacun doit en outre se conformer aux signaux et aux marques ainsi qu'aux ordres de la police (art. 27 al. 1 LCR). La jurisprudence précise qu'en cas d'indices concrets de comportement fautif d'un autre usager de la route, on exige un comportement réduisant les risques (RSJ 2007 p. 587; JdT 2007 I 39). Le Tribunal fédéral a admis que plus la règle de circulation violée est importante du point de vue de la sécurité, plus la prudence dont le conducteur du véhicule prioritaire doit faire preuve est grande;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(ATF non publié du 4 août 2003, 6S.162/2003 , consid. 3.1). En outre, lors d'une course officielle urgente [au sens de l'art. 100 al. 4 LCR], le conducteur doit observer le principe de proportionnalité, à l'instar de celui qui agit en vertu de son devoir de fonction au sens de l'art. 32 CP (cf. René SCHAFFHAUSER, Grundriss des schweizerischen Strassenverkehrsrechts, vol. III, n. 2278).</w:t>
      </w:r>
    </w:p>
    <w:p>
      <w:r>
        <w:rPr>
          <w:b/>
        </w:rPr>
        <w:t>E. 3</w:t>
      </w:r>
    </w:p>
    <w:p>
      <w:r>
        <w:t>3.1 En l'espèce, les lésions corporelles subies par le plaignant sont avérées.</w:t>
      </w:r>
    </w:p>
    <w:p>
      <w:r>
        <w:rPr>
          <w:b/>
        </w:rPr>
        <w:t>E. 3.2</w:t>
      </w:r>
    </w:p>
    <w:p>
      <w:r>
        <w:t>Reste à examiner si ces lésions proviennent du comportement de l'appelant, suite à une violation d'un devoir de prudence. Il résulte du dossier et des déclarations de tous les protagonistes que l'appelant circulait sur la voie ferrée opposée au sens de marche d'un véhicule automobile usuel. L'appelant a lui-même déclaré qu'avant le choc, son attention était focalisée sur la foule de piétons sur sa droite et non devant lui, ce qui confirme qu'il n'était pas attentif à la présence éventuelle d'autres véhicules sur la voie de circulation. Cette circonstance, à teneur de ses propres dires, l'a empêché de remarquer que la partie civile se trouvait sur sa gauche, au panneau de signalisation STOP. S'il avait voué toute son attention à la circulation, il aurait vu que la partie civile avait passé l'intersection, après le panneau STOP, et avait pratiquement terminé sa traversée du carrefour. Il est acquis que tant l'appelant que la partie civile circulaient à des vitesses très réduites. Néanmoins une telle précaution ne suffisait pas. L'appelant aurait dû prendre des mesures de précaution supplémentaires et le cas échéant s'arrêter s'il ne pouvait concentrer son attention à la fois sur les piétons et sur la route. De plus, en tant qu'il circulait en sens inverse à la circulation, l'appelant se devait d'être particulièrement attentif. Le fait que l'arrière droit du scooter ait été touché est déterminant, car le point de choc démontre de manière significative que la partie civile n'était plus débitrice de la priorité, ayant pratiquement terminé la traversée de l'intersection. L'appelant a invoqué qu'il effectuait une course d'urgence et qu'ainsi il était en droit d'emprunter les voies réservées à la circulation du tram, conformément aux instructions de service TPG (IDS 1990). La Chambre pénale estime que cet élément n'est finalement pas déterminant, en ce sens qu'une éventuelle course d'urgence ne change en rien le devoir de prudence qui incombe au conducteur, soit celui de ne pas mettre en danger ceux qui utilisent la route conformément aux règles établies, moyennant en sus une vigilance accrue. L'appelant a donc violé un devoir de prudence, ce qui doit lui être imputé à faute. Rien n'indique que la partie civile aurait, pour sa part, enfreint un tel devoir. Le droit pénal ne connaît pas le principe de répartition des fautes, de sorte qu'il n'est pas relevant de déterminer une éventuelle erreur de jugement, au regard de la présence incongrue d'un véhicule automobile sur sa droite. En tout état, le comportement de la partie civile, s'il n'est pas irréprochable, n'est pas de nature à reléguer à l'arrière-plan la faute significative de l'appelant.</w:t>
      </w:r>
    </w:p>
    <w:p>
      <w:r>
        <w:rPr>
          <w:b/>
        </w:rPr>
        <w:t>E. 3.3</w:t>
      </w:r>
    </w:p>
    <w:p>
      <w:r>
        <w:t>Le lien de causalité entre la violation du devoir de prudence et les lésions corporelles subies par la partie civile est manifeste. L'appelant soutient qu'il s'est uniquement appuyé contre le scooter. Cet élément n'est pas relevant pour écarter les lésions corporelles qui ne requièrent pas que la force soit utilisée, s'agissant du contexte de la circulation routière. C'est ainsi à raison que les premiers juges ont reconnu l'appelant coupable d'infraction à l'art. 125 CP. Le verdict de lésions corporelles par négligence sera donc entièrement confirmé.</w:t>
      </w:r>
    </w:p>
    <w:p>
      <w:r>
        <w:rPr>
          <w:b/>
        </w:rPr>
        <w:t>E. 4</w:t>
      </w:r>
    </w:p>
    <w:p>
      <w:r>
        <w:t>La peine doit être fixée d'après le culpabilité du délinquant, en tenant compte des mobiles, des antécédents et de la situation personnelle de ce dernier. En l'espèce la faute de l'appelant est importante, causant des lésions significatives pour la partie civile. La peine fixée par les premiers juges est adéquate et tient compte de tous les éléments pertinents en la matière.</w:t>
      </w:r>
    </w:p>
    <w:p>
      <w:r>
        <w:rPr>
          <w:b/>
        </w:rPr>
        <w:t>E. 5</w:t>
      </w:r>
    </w:p>
    <w:p>
      <w:r>
        <w:t>Le jugement étant confirmé intégralement, les frais de la procédure ainsi que les dépens de la partie civile seront mis à la charge de l'appelant en application des principes prévus par l'art.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