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P/14120/2022 vom 4. Juli 2023</w:t>
      </w:r>
    </w:p>
    <w:p>
      <w:r>
        <w:t>GE Cour de justice, 2023-07-04, FR</w:t>
      </w:r>
    </w:p>
    <w:p>
      <w:r>
        <w:rPr>
          <w:b/>
        </w:rPr>
        <w:t xml:space="preserve">Quelle: </w:t>
      </w:r>
      <w:r>
        <w:t>https://mcp.opencaselaw.ch/entscheid/ge_gerichte_P_14120_2022</w:t>
      </w:r>
    </w:p>
    <w:p>
      <w:r>
        <w:t>FR: GE_GERICHTE P/14120/2022 du 4 juillet 2023</w:t>
      </w:r>
    </w:p>
    <w:p>
      <w:r>
        <w:t>IT: GE_GERICHTE P/14120/2022 del 4 luglio 2023</w:t>
      </w:r>
    </w:p>
    <w:p>
      <w:pPr>
        <w:pStyle w:val="Heading2"/>
      </w:pPr>
      <w:r>
        <w:t>Regeste</w:t>
      </w:r>
    </w:p>
    <w:p>
      <w:r>
        <w:t>ÉQUITÉ;FIXATION DE LA PEINE | CP.291; CP.49</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rPr>
          <w:b/>
        </w:rPr>
        <w:t>E. 2.2</w:t>
      </w:r>
    </w:p>
    <w:p>
      <w:r>
        <w:t>Le principe in dubio pro reo ,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2.3</w:t>
      </w:r>
    </w:p>
    <w:p>
      <w:r>
        <w:t>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p. 387 ; 131 IV 97 consid. 3.1 p. 98), dans les formes et auprès des autorités compétentes selon l'art. 304 al. 1 CPP (arrêts du Tribunal fédéral 6B_1297/2017 du 26 juillet 2018 consid. 1.1.1 ; 6B_942/2017 du 5 mars 2018 consid. 1.1). À teneur de l'art. 304 al. 1 CPP, la plainte pénale doit être déposée auprès de la police, du ministère public ou de l'autorité pénale compétente en matière de contraventions, par écrit ou oralement ; dans ce dernier cas, elle est consignée au procès-verbal. Pour être valable,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Ainsi, en cas d'injures par exemple, il n'est pas nécessaire que la plainte reproduise exactement les termes injurieux. En revanche, la qualification juridique des faits incombe aux autorités de poursuite (ATF 131 IV 97 consid. 3 p. 98 s. ; arrêts du Tribunal fédéral 6B_1297/2017 du 26 juillet 2018 consid. 1.1.1 ; 6B_942/2017 du 5 mars 2018 consid. 1.1 ; 6B_396/2008 du 25 août 2008 consid. 3.3.2). Un formulaire de plainte pénale préétabli, signé par l'ayant droit, portant la seule mention de l'infraction pour laquelle la poursuite est demandée (par exemple: menace) à l'exclusion d'autres indications factuelles relatives aux événements, peut remplir les exigences de contenu. C'est le cas lorsque les organes de police, auprès desquels la plainte est déposée, sont au clair sur l'état de fait pour lequel la poursuite est requise ; notamment parce qu'ils sont intervenus pendant les faits reprochés ou lorsque la cause a été documentée à l'interne (arrêts du Tribunal fédéral 6B_1297/2017 du 26 juillet 2018 consid. 1.1.1 et les références ; 6S.302/2005 du 31 octobre 2005 consid. 4 et 5 = Pra 2006 46 334).</w:t>
      </w:r>
    </w:p>
    <w:p>
      <w:r>
        <w:rPr>
          <w:b/>
        </w:rPr>
        <w:t>E. 2.4</w:t>
      </w:r>
    </w:p>
    <w:p>
      <w:r>
        <w:t>En l’occurrence, l’appelant admet avoir pénétré dans le commerce cambriolé le soir des faits, mais nie toute implication dans le vol et l’effraction de la porte.</w:t>
      </w:r>
    </w:p>
    <w:p>
      <w:r>
        <w:rPr>
          <w:b/>
        </w:rPr>
        <w:t>E. 2.4.1</w:t>
      </w:r>
    </w:p>
    <w:p>
      <w:r>
        <w:t>En ce qui concerne l’effraction, la plainte ne comporte aucune croix dans la rubrique « dommages à la propriété ». Dans la mesure où il appartient à l’autorité pénale de caractériser les faits dénoncés, cette absence n’a, en principe, pas de portée. Il ressort toutefois de la mention manuscrite apposée à côté de la rubrique « violation de domicile » qu’un policier s’est enquis auprès de la plaignante de la portée de sa plainte, et n’a complété que cette dernière rubrique et non la précédente ; ce même policier n’a pas non plus évoqué d’infraction à l’art. 144 CP dans un rapport ultérieur, et la plaignante ne chiffre aucun dégât. Dans ces circonstances, il faut retenir, au bénéfice du doute, l’absence de dommage lié à l’introduction du / des voleur(s) dans le commerce et donc qu’il n’y a pas eu d’infraction à l’art. 144 CP. L’absence de plainte constitue un empêchement de procéder qui conduira au prononcé d’un classement.</w:t>
      </w:r>
    </w:p>
    <w:p>
      <w:r>
        <w:rPr>
          <w:b/>
        </w:rPr>
        <w:t>E. 2.4.2</w:t>
      </w:r>
    </w:p>
    <w:p>
      <w:r>
        <w:t>Si réellement, comme l’a déclaré l’appelant, il cherchait le soir des faits un local poubelles pour y dormir, rien ne justifiait qu’il s’introduisit dans un commerce. Si on peut concevoir qu’il eut laissé choir un mouchoir usagé dans sa recherche d’un lieu pour la nuit, la manipulation d’une raquette de badminton démontre que l’appelant a procédé à une fouille, comme le ferait un cambrioleur. Par ailleurs, le quartier où se situe le commerce (rue 1______) est éloigné des lieux notoirement connus pour le trafic de stupéfiants (gare, Pâquis, Usine) ; il ne se trouve pas non plus sur le trajet entre ces lieux et la ville de G______ où l’appelant dit avoir vécu à l’époque des faits. Il n’y a par ailleurs aucun logement d’urgence à proximité. Il n’y a ainsi aucune explication cohérente à la présence de l’appelant dans le quartier sur la base de ses explications. L’appelant a déjà été condamné par le passé pour des faits de cambriolage, ce qui démontre sa disposition à commettre de tels actes. S’il est certes théoriquement possible qu’il fut arrivé dans les locaux après le départ d’un tiers, une telle coïncidence est si improbable qu’elle tient de l’impossible. Ses dénégations de circonstance n’emportent donc pas la conviction de la Cour. La présence de profils ADN de mélange sur différents objets, notamment ceux sur lesquels le profil de l’appelant a été retrouvé, n’entame pas cette conviction. En effet, les objets ont été prélevés dans le salon d’une école de ______, lieu de passage par définition très fréquenté pendant ses heures d’ouverture. Les traces de mélange correspondent ainsi vraisemblablement à des clients, voire à des employés ou, puisqu’il s’agit d’une académie, des apprentis. Il est ainsi établi, au-delà de tout doute raisonnable, que c’est bien l’appelant qui a commis le vol chez la plaignante. Le verdict de culpabilité du premier juge doit être confirmé sur ce point.</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4.3.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L'art. 49 al. 2 CP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La fixation d'une peine d'ensemble n'est pas possible en cas de sanctions de genre différent. Ainsi, une peine privative de liberté ne peut être prononcée comme peine complémentaire d'une sanction pécuniaire (ATF 142 IV 265 consid. 2.3.2 et les références = JdT 2017 IV 129 ; ATF 138 IV 120 consid. 5.2 p. 122 s. ; arrêt du Tribunal fédéral 6B_952/2016 , 6B_962/2016 du 29 août 2017 consid. 4.2). 4.4. Si, durant le délai d'épreuve, le détenu libéré conditionnellement commet un crime ou un délit, le juge qui connaît de la nouvelle infraction ordonne sa réintégration dans l'établissement (art. 89 al. 1 CP). Le juge peut renoncer à réintégrer dans l'établissement de détention le détenu libéré conditionnellement ayant commis un nouveau crime ou délit, s'il n'y a pas lieu de craindre que celui-ci commette d'autres infractions (art. 89 al. 2 CP). La commission d'un nouveau crime ou d'un nouveau délit ne constitue qu'un des facteurs à considérer, le pronostic quant à la capacité de l'intéressé à vivre de manière conforme à la loi dans le futur devant à nouveau être établi. Par sa nature même, le pronostic à émettre ne saurait être tout à fait sûr ; il doit suffire de pouvoir raisonnablement conjecturer que le détenu ne commettra pas de nouvelles infractions (arrêt du Tribunal fédéral 6B_1034/2013 du 31 mars 2014 consid. 2.1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6B_1034/2013 du 31 mars 2014 consid. 2.1, 6B_663/2009 du 19 octobre 2009 consid. 1.2 et 6B_303/2007 du 6 décembre 2007 consid. 6). 4.5. A la lumière de la jurisprudence sur la Directive sur le retour (Directive 2008/115/CE relative aux normes et procédures communes applicables dans les États membres au retour des ressortissants de pays tiers en séjour irrégulier), celui qui se rend coupable de rupture de ban au sens de l'art. 291 CP, ne peut être condamné à une peine privative de liberté que si toutes les mesures raisonnables ont été entreprises en vue de l'éloignement, respectivement si celui-ci a échoué en raison du comportement de l'intéressé (ATF 147 IV 232 consid. 1.6 p. 239). 4.6. En l’espèce, le prévenu a commis plusieurs délits passibles d’une peine pécuniaire ou d’une peine privative de liberté de trois ans au plus et un crime passible d’une peine pécuniaire ou d’une peine privative de liberté de cinq ans au plus, ce antérieurement à la condamnation du 29 avril 2022. Il convient dès lors d’examiner s’il y a lieu au prononcé d’une peine complémentaire, ce qui implique de déterminer le type de peine susceptible de sanctionner adéquatement les comportements incriminés. La jurisprudence sur la Directive Retour ne s’applique pas à l’appelant, citoyen français, qui n’est donc pas visé par ce texte qui régit la situation des ressortissants de pays tiers. Au surplus, contrairement à ce qu’a pu plaider son conseil, l’appelant a fait l’objet de mesures de renvoi en France à plusieurs reprises depuis le prononcé de l’expulsion (cf. supra consid. D.a.). La situation personnelle de l’appelant n’est pas favorable ; il n’a aucun revenu régulier. Il fait l’objet d’une décision d’expulsion exécutoire et, toxicomane, n’a aucune perspective de réinsertion lui permettant de réaliser des revenus réguliers. Il est d’ailleurs actuellement détenu, comme il l’a déjà été par le passé, faute d’avoir pu réunir les sommes nécessaires au paiement de peines pécuniaires prononcées à son encontre. Il est ainsi vain d’espérer qu’une nouvelle peine pécuniaire aura la moindre perspective de recouvrement, et ce, quand bien même le MP a prononcé une telle peine à plusieurs reprises à la période des faits, choix qui ne lie pas la CPAR. A cela s’ajoute que les peines pécuniaires et amendes précédemment prononcées à son encontre n’ont eu aucun effet dissuasif, sinon de l’encourager à persévérer dans son irrespect des règles. Dans ces circonstances, le prononcé d’une peine privative de liberté s’impose pour toutes les infractions dont l’appelant s’est rendu coupable. Les conditions du sursis (art. 42 al. 2 CP) ne sont pas remplies, aucun pronostic particulièrement favorable ne pouvant être formulé au vu des multiples récidives. 4.6. Ces considérations commandent mutatis mutandis la révocation de la libération conditionnelle accordée le 17 mai 2021, l’appelant ayant récidivé dans le délai d’épreuve de cette décision. Le fait que le TAPEM a considéré, en octobre 2022, qu’il pouvait mettre l’appelant au bénéfice d’un pronostic favorable n’est pas pertinent, dans la mesure où les conditions présidant à l’octroi d’une libération conditionnelle sont différentes de celles conduisant à la révocation de cette décision. Les conditions d’une révocation de la libération conditionnelle accordée le 24 octobre 2022 ne sont en revanche pas remplies, ni d’ailleurs d’une prolongation de ce délai d’épreuve. En effet, d’une part, l’appelant n’a jamais été mis au bénéfice de cette décision, puisqu’il a été incarcéré pour les faits de la présente cause avant sa remise en liberté. D’autre part, lesdits faits sont antérieurs à cette décision. Enfin, une partie des peines visées par cette décision est sujette à une prochaine prescription (cf. AARP/148/2022 ). 4.7. La faute de l'appelant est importante et dénote un mépris caractérisé des décisions de l’autorité et du bien d’autrui. Il a agi par facilité et par convenance personnelle, sans doute aussi sous l’influence de sa toxicomanie et de sa recherche de produits pour y satisfaire. Il n’en demeure pas moins qu’il aurait pu et dû s’abstenir de revenir à Genève, ce d’autant qu’il s’y est en l’occurrence rendu pour commettre un cambriolage afin de subvenir de la sorte à ses besoins. Sa situation personnelle est obérée et difficile. Néanmoins, étant citoyen français, il pouvait et devait entreprendre dans son pays les démarches pour bénéficier d’une assistance socio-médicale plutôt que de recourir par facilité à des infractions en Suisse, ce d’autant plus qu’il était déjà sous le coup d’une mesure d’expulsion. Quand bien même il n’y a pas lieu au prononcé d’une peine complémentaire, il sera tenu compte dans un sens atténuant, par souci d’équité, des ordonnances pénales de 2022 condamnant l’appelant à des peines pécuniaires pour rupture de ban. L’infraction objectivement la plus grave est le vol, qui doit être sanctionné d’une peine de base de deux mois, aggravée de 20 jours pour la violation de domicile (peine théorique d’un mois). Cette peine doit encore être aggravée de dix jours (peine théorique de six mois) pour la rupture de ban ainsi que pour tenir compte de la révocation de la libération conditionnelle (78 jours). Dans ces circonstances, la peine d’ensemble sera arrêtée à quatre mois.</w:t>
      </w:r>
    </w:p>
    <w:p>
      <w:r>
        <w:rPr>
          <w:b/>
        </w:rPr>
        <w:t>E. 5</w:t>
      </w:r>
    </w:p>
    <w:p>
      <w:r>
        <w:t>5.1. L’appelant est reconnu coupable d’un vol commis avec violation de domicile et est donc passible d’une expulsion obligatoire (art. 66a let. d CP). Ayant agi alors qu’une telle mesure avait encore effet, il est passible d’une nouvelle expulsion pour une durée minimale de 20 ans, voire à vie (art. 66b al. 2 CP).</w:t>
      </w:r>
    </w:p>
    <w:p>
      <w:r>
        <w:rPr>
          <w:b/>
        </w:rPr>
        <w:t>E. 5.2</w:t>
      </w:r>
    </w:p>
    <w:p>
      <w:r>
        <w:t>L’appelant ne soutient à raison pas qu’il remplirait les conditions de la clause de rigueur. L’expulsion pour une durée de 20 ans prononcée par le premier juge, correspondant à la durée minimale en cas de récidive, sera dès lors confirmée.</w:t>
      </w:r>
    </w:p>
    <w:p>
      <w:r>
        <w:rPr>
          <w:b/>
        </w:rPr>
        <w:t>E. 5.3</w:t>
      </w:r>
    </w:p>
    <w:p>
      <w:r>
        <w:t>Il n'y a pas lieu d'étendre la mesure d'expulsion à l'ensemble de l'espace Schengen, le prévenu étant ressortissant d'un État membre.</w:t>
      </w:r>
    </w:p>
    <w:p>
      <w:r>
        <w:rPr>
          <w:b/>
        </w:rPr>
        <w:t>E. 6.1</w:t>
      </w:r>
    </w:p>
    <w:p>
      <w:r>
        <w:t>Il y a détention excessive au sens de l’art. 431 al. 2 CPP ( Überhaft )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selon l'art. 431 al. 2 CPP, ce n'est pas la détention en soi, mais seulement la durée de celle-ci qui est injustifiée. La détention ne sera qualifiée d'excessive qu'après le prononcé du jugement (ATF 141 IV 236 consid. 3.2 p. 238 ; arrêt du Tribunal fédéral 6B_343/2015 du 2 février 2016 consid. 1.2.4). Conformément à l'art. 51 CP, l'art. 431 al. 2 CPP pose la règle que la détention excessive est d'abord imputée sur une autre sanction et ne peut donner lieu à une indemnisation que si aucune imputation n'est possible. L'imputation de la détention intervient, en premier lieu, sur les peines privatives de liberté et, en second lieu, sur les autres peines, comme la peine pécuniaire, le travail d'intérêt général et l'amende. La compensation sous la forme de l'indemnisation est subsidiaire. L'intéressé n'a aucun droit de choisir entre l'indemnisation ou l'imputation (ATF 141 IV 236 consid. 3.3 p. 239 ; arrêts du Tribunal fédéral 6B_343/2015 du 2 février 2016 consid. 1.2.4 ; 6B_558/2013 du 13 décembre 2013 consid. 1.5 ; 6B_169/2012 du 25 juin 2012 consid. 6 ; 1B_179/2011 du 17 juin 2011 consid. 4.2).</w:t>
      </w:r>
    </w:p>
    <w:p>
      <w:r>
        <w:rPr>
          <w:b/>
        </w:rPr>
        <w:t>E. 6.2</w:t>
      </w:r>
    </w:p>
    <w:p>
      <w:r>
        <w:t>En l’espèce, l’appelant a subi dans son intégralité, dans le cadre de l’exécution anticipée de peine, la peine privative de liberté de six mois prononcée par le TP et a ainsi subi deux mois de détention excessive. Conformément à l’art. 431 al. 2 CPP, cette détention excessive sera portée en déduction de la peine pécuniaire prononcée par ordonnance pénale du 24 mars 2022. L’appelant sera ainsi débouté de ses conclusions en indemnisation. L’appelant étant actuellement détenu au titre des peines pécuniaires prononcées à son encontre, le présent arrêt sera communiqué au Service d'application des peines et des mesures afin qu’il procède immédiatement à cette imputation.</w:t>
      </w:r>
    </w:p>
    <w:p>
      <w:r>
        <w:rPr>
          <w:b/>
        </w:rPr>
        <w:t>E. 7</w:t>
      </w:r>
    </w:p>
    <w:p>
      <w:r>
        <w:t>L'appelant, qui obtient partiellement gain de cause, supportera la moitié des frais de la procédure envers l'État (art. 428 CPP). Ceux-ci comprendront un émolument de décision réduit, de CHF 300.-, tenant compte de sa situation obérée (art. 425 CPP). Les frais de la procédure préliminaire et de première instance seront mis à sa charge à raison de la moitié, l’émolument complémentaire de jugement étant laissé à celle de l’état.</w:t>
      </w:r>
    </w:p>
    <w:p>
      <w:r>
        <w:rPr>
          <w:b/>
        </w:rPr>
        <w:t>E. 8.1</w:t>
      </w:r>
    </w:p>
    <w:p>
      <w:r>
        <w:t>Considéré globalement, l'état de frais produit par M e C______, défenseur d'office de A______, satisfait les exigences légales et jurisprudentielles régissant l'assistance judiciaire gratuite en matière pénale ; la durée consacrée à la rédaction de la déclaration d’appel (1h30 d’activité de la stagiaire) sera néanmoins écartée, cet acte de procédure n’ayant pas à être motivé et ressortant à l’activité couverte par la majoration forfaitaire. Il convient de le compléter de la durée de l'audience et d’une vacation, seule toutefois la présence de l’associé étant indemnisée) . La rémunération de M e C______ sera partant arrêtée à CHF 2'157.25 correspondant à 13 heures d'activité au tarif de CHF 110.-/heure, 1h30 d’activité à CHF 200.-/heure plus la majoration forfaitaire de 10%, l’activité totale dépassant 30 heures, une vacation et l'équivalent de la TVA au taux de 7.7% en CHF 154.25.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