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P/14071/2016 vom 9. Oktober 2020</w:t>
      </w:r>
    </w:p>
    <w:p>
      <w:r>
        <w:t>GE Cour de justice, 2020-10-09, FR</w:t>
      </w:r>
    </w:p>
    <w:p>
      <w:r>
        <w:rPr>
          <w:b/>
        </w:rPr>
        <w:t xml:space="preserve">Quelle: </w:t>
      </w:r>
      <w:r>
        <w:t>https://mcp.opencaselaw.ch/entscheid/ge_gerichte_P_14071_2016</w:t>
      </w:r>
    </w:p>
    <w:p>
      <w:r>
        <w:t>FR: GE_GERICHTE P/14071/2016 du 9 octobre 2020</w:t>
      </w:r>
    </w:p>
    <w:p>
      <w:r>
        <w:t>IT: GE_GERICHTE P/14071/2016 del 9 ottobre 2020</w:t>
      </w:r>
    </w:p>
    <w:p>
      <w:pPr>
        <w:pStyle w:val="Heading2"/>
      </w:pPr>
      <w:r>
        <w:t>Regeste</w:t>
      </w:r>
    </w:p>
    <w:p>
      <w:r>
        <w:t>PARTIE À LA PROCÉDURE;LÉSÉ;INFRACTIONS EN MATIÈRE DE LP;CRÉANCIER;POURSUITE PAR VOIE DE FAILLITE | CPP.115; CPP.118; CP.163 ss; LP.190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du recours de la plaignante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accordé la qualité de partie plaignante à B______ SA. 3.1.1. Selon l'art. 118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Un dommage n'est en revanche pas nécessaire pour être lésé au sens de l'art. 115 al. 1 CPP car l'atteinte directe, selon cette disposition, se rapporte à la violation du droit pénal et non à un dommage (ATF 139 IV 78 consid. 3.3.3 p. 81 et les références citées; voir aussi ATF 141 IV 231 consid. 2.5 p. 235). 3.1.2. Selon la jurisprudence, les art. 163ss CP figurent parmi les infractions contre le patrimoine (art. 137 à 172ter CP). Ces dispositions tendent à protéger, d'une part, les créanciers et, d'autre part, la poursuite pour dettes elle-même, en tant que moyen d'assurer le respect des droits, et les créanciers individuels directement touchés sont légitimés à se constituer partie plaignante dans la procédure pénale (ATF 140 IV 155 consid. 3.3.2 = JdT 2015 IV 107 ; arrêt du Tribunal fédéral 6B_252/2013 du 14 mai 2013 consid. 2.2 et les références citées). 3.1.3. Selon l'art. 190 al.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(ch. 1), si le débiteur sujet à la poursuite par voie de faillite a suspendu ses paiements (ch. 2) ou dans le cas de l'art. 309 (ch. 3). La légitimation pour requérir la faillite sans poursuite préalable appartient à celui qui prétend être créancier et le rend vraisemblable au degré de la vraisemblance qualifiée, même si la créance n'est pas encore exigible (ATF 120 III 88 , JdT 1996 II 77; 85 III 151 s., c. 3, JdT 1960 II 50).</w:t>
      </w:r>
    </w:p>
    <w:p>
      <w:r>
        <w:rPr>
          <w:b/>
        </w:rPr>
        <w:t>E. 3.2</w:t>
      </w:r>
    </w:p>
    <w:p>
      <w:r>
        <w:t>En l'espèce, la Chambre de céans relève, à titre liminaire, que la question de la qualité de créancière de B______ SA, sous l'angle de la légitimation active, ne devrait pas être confondue, à ce stade, avec celle du bien-fondé des créances réclamées. Seule la question de savoir si B______ SA est directement lésée par les infractions instruites est pertinente. En tout état, il ressort de la procédure que les créances dont se prévaut B______ SA sont fondées sur un contrat de bail conclu entre celle-ci et les deux sociétés faillies, D______ SA et E______ SA, dont le recourant était l'administrateur et/ou le directeur. Partant, la qualité de créancière de B______ SA à l'encontre des deux sociétés précitées, en tant que bailleresse, est établie, indépendamment du bien-fondé de ses créances en loyers et charges impayés. À ce titre, selon l'arrêt du 25 septembre 2015 rendu par la Cour de justice, produit par le recourant lui-même, le Tribunal de première instance a prononcé la faillite sans poursuite préalable de E______ SA, sur requête de B______ SA. Ainsi, la qualité de créancière de cette dernière, condition nécessaire pour l'admission d'une telle requête, a été reconnue, au degré de la vraisemblance qualifiée, par l'autorité judicaire de première instance. Si la Cour de justice ne s'est pas prononcée sur la validité de ce jugement, ce n'est qu'en raison d'un précédent arrêt rendu dans le cadre d'un autre prononcé de faillite dirigé contre la même société débitrice. Aucun élément ne permet en revanche d'affirmer que le jugement de première instance n'aurait pas été confirmé en seconde instance, étant précisé que ces deux décisions judiciaires sont à ce jour définitives et exécutoires. À l'inverse, aucune autorité judiciaire n'a jamais exclu les créances de B______ SA. Par ailleurs, B______ SA est au bénéfice d'un acte de défaut de biens après faillite contre E______ SA, pour un montant de CHF 129'310.05, également définitif et exécutoire. L'erreur de plume au procès-verbal de faillite invoquée à cet égard par le recourant n'emporte pas la conviction, d'autant que ni ce procès-verbal, ni l'état de collocation, ni l'acte de défaut de biens n'ont jamais été contestés par le recourant en empruntant les voies adéquates, qui sont celles de la LP. Il est encore souligné que les éventuels droits de la masse cédés à B______ SA ne sauraient, par définition, porter sur ses propres créances produites dans la faillite de E______ SA. Ce grief est donc sans pertinence. Enfin, l'état effectif des charges et les conclusions qui en résulteront ressortent du fond et, partant, ne sont pas déterminants pour admettre, à ce stade, la qualité de partie plaignante de B______ SA. Par conséquent, la qualité de créancière de B______ SA doit être retenue, et sa qualité de partie plaignante à la présente procédure pénale admise. L'éventuelle révision de l'état de collocation, en l'état non initiée par le recourant, ne modifie pas ce constat.</w:t>
      </w:r>
    </w:p>
    <w:p>
      <w:r>
        <w:rPr>
          <w:b/>
        </w:rPr>
        <w:t>E. 4</w:t>
      </w:r>
    </w:p>
    <w:p>
      <w:r>
        <w:t>Justifiée, l'ordonnance querellée sera donc confirmée.</w:t>
      </w:r>
    </w:p>
    <w:p>
      <w:r>
        <w:rPr>
          <w:b/>
        </w:rPr>
        <w:t>E. 5</w:t>
      </w:r>
    </w:p>
    <w:p>
      <w:r>
        <w:t>Le recourant, qui succombe, supportera les frais envers l'État, arrêtés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