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P/14007/2016 vom 21. Mai 2019</w:t>
      </w:r>
    </w:p>
    <w:p>
      <w:r>
        <w:t>GE Cour de justice, 2019-05-21, FR</w:t>
      </w:r>
    </w:p>
    <w:p>
      <w:r>
        <w:rPr>
          <w:b/>
        </w:rPr>
        <w:t xml:space="preserve">Quelle: </w:t>
      </w:r>
      <w:r>
        <w:t>https://mcp.opencaselaw.ch/entscheid/ge_gerichte_P_14007_2016</w:t>
      </w:r>
    </w:p>
    <w:p>
      <w:r>
        <w:t>FR: GE_GERICHTE P/14007/2016 du 21 mai 2019</w:t>
      </w:r>
    </w:p>
    <w:p>
      <w:r>
        <w:t>IT: GE_GERICHTE P/14007/2016 del 21 maggio 2019</w:t>
      </w:r>
    </w:p>
    <w:p>
      <w:pPr>
        <w:pStyle w:val="Heading2"/>
      </w:pPr>
      <w:r>
        <w:t>Regeste</w:t>
      </w:r>
    </w:p>
    <w:p>
      <w:r>
        <w:t>PRINCIPE DE L'ACCUSATION ; ACTE D'ACCUSATION ; APPRÉCIATION DES PREUVES ; VIOLATION DU DEVOIR D'ASSISTANCE OU D'ÉDUCATION ; FIXATION DE LA PEINE ; CONCOURS D'INFRACTIONS ; SURSIS À L'EXÉCUTION DE LA PEINE ; PÉRIODE D'ESSAI ; DIRECTIVE(INJONCTION) ; TRAITEMENT AMBULATOIRE ; DÉFENSE D'OFFICE | CPP.9; CPP.325; CP.219.al1; CP.47; CP.49.al1; CP.42; CP.44; CP.63; CPP.237; CPP.135</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La culpabilité de l'appelant des chefs de voies de fait (art. 126 CP), injures (art. 177 CP) et menaces (art. 180 CP) n'est plus remise en cause en appel et est, dès lors, acquise.</w:t>
      </w:r>
    </w:p>
    <w:p>
      <w:r>
        <w:rPr>
          <w:b/>
        </w:rPr>
        <w:t>E. 2</w:t>
      </w:r>
    </w:p>
    <w:p>
      <w:r>
        <w:t>2.1.1. L'art. 9 CPP consacre la maxime d'accusation, laquelle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(ATF 143 IV 63 consid. 2.2 p. 65 ; ATF 141 IV 132 consid. 3.4.1 p. 142 s. ; ATF 140 IV 188 consid. 1.3 p. 190). 2.1.2.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Des imprécisions relatives au lieu ou à la date sont sans portée, dans la mesure où le prévenu ne peut avoir de doute sur le comportement qui lui est reproché (arrêt du Tribunal fédéral 6B_1141/2015 du 3 juin 2016 consid. 1.1).</w:t>
      </w:r>
    </w:p>
    <w:p>
      <w:r>
        <w:rPr>
          <w:b/>
        </w:rPr>
        <w:t>E. 2.2</w:t>
      </w:r>
    </w:p>
    <w:p>
      <w:r>
        <w:t>En l'occurrence, on admettra, avec le premier juge, que l'acte d'accusation dressé permet un examen adéquat de la culpabilité de l'appelant du chef de violation du devoir d'assistance et d'éducation. En effet, celui-ci énonce la nature des actes reprochés à ce titre et indique la période pénale considérée de manière suffisante pour permettre au prévenu de saisir ce qui lui est reproché. Du reste, ces éléments ont fait l'objet d'une instruction détaillée et ont été largement abordés dans le cadre de l'expertise menée, de sorte que l'appelant a pu s'exprimer et se déterminer en connaissance de cause. On ne saurait, en particulier, exiger un plus haut degré de précision par rapport à chacune des occurrences incriminées, s'agissant d'actes commis à réitérées reprises et contre de jeunes enfants, ce que mentionne l'acte d'accusation. Une violation du principe d'accusation ne saurait, en conséquence, être retenue.</w:t>
      </w:r>
    </w:p>
    <w:p>
      <w:r>
        <w:rPr>
          <w:b/>
        </w:rPr>
        <w:t>E. 3</w:t>
      </w:r>
    </w:p>
    <w:p>
      <w:r>
        <w:t>3.1.1. Le principe in dubio pro reo , qui découle de la présomption d'innocence, garantie par l'art. 6 ch. 2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3.2.1. L'art. 219 al. 1 CP réprime le comportement de celui qui aura violé son devoir d'assister ou d'élever une personne mineure dont il aura ainsi mis en danger le développement physique ou psychique, ou qui aura manqué à ce devoir. Le bien juridique protégé par l'art. 219 CP est le développement physique et psychique du mineur (ATF 126 IV 136 consid. 1b p. 138). Le comportement délictueux peut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Le devoir en question et, partant, la position de garant de l'auteur, peut résulter de la loi, d'une décision de l'autorité ou d'un contrat, voire d'une situation de fait (ATF 125 IV 64 consid. 1a ; AARP/200/2018 du 27 juin 2018 consid. 3.2.2.). Sont notamment des garants les parents naturels, qu'ils vivent ou non avec l'enfant (ATF 125 IV 64 consid. 1a et les références citées).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Le devoir d'assistance est un devoir de protection. Il s'agit de garantir le développement physique et psychique normal de l'enfant. Le garant est tenu avant tout de fournir la nourriture, l'habillement, l'entretien, l'hébergement et la formation, les besoins culturels et sportifs de l'enfant et la tendresse dont il a besoin. Il doit prendre les mesures qui s'imposent à lui en raison des circonstances, de l'âge, de l'état de santé et du développement de l'enfant (M. DUPUIS / L. MOREILLON / C. PIGUET / S. BERGER / M. MAZOU / V. RODIGARI [éds], Code pénal - Petit commentaire , 2 e éd., Bâle 2017, n. 8 ad art. 219). Le devoir d'éducation est le devoir d'assurer le développement sur le plan corporel, spirituel et psychique du mineur. Il n'existe pas de modèle ni de standard type. Le développement de l'enfant implique son interaction dans la société, ainsi que l'apprentissage des normes d'éthique sociale. Pour que l'on puisse établir l'existence d'un devoir d'éducation, il faut que le lien entre l'auteur et le mineur ait existé pendant une certaine durée et que l'auteur ait exercé une influence considérable dans le processus de socialisation de l'enfant (M. DUPUIS et al. , op. cit. , n. 9 ad art. 219). La mise en danger n'a pas besoin d'être grave. Il faut que toutefois que des séquelles durables d'ordre physique ou psychique apparaissent vraisemblables, de telle sorte que le développement du mineur soit mis en danger. Il faut ainsi que l'auteur agisse en principe de façon répétée ou qu'il viole durablement son devoir d'éducation. Il n'est cependant pas exclu qu'un seul acte grave suffise pour que des séquelles durables risquent d'affecter le développement du mineur (M. DUPUIS et al. , op. cit. , n. 15-16 ad art. 219). 3.2.2. Pour la commission intentionnelle de l'infraction, le dol éventuel suffit (M. DUPUIS et al. , op. cit. , n. 19 ad art. 219).</w:t>
      </w:r>
    </w:p>
    <w:p>
      <w:r>
        <w:rPr>
          <w:b/>
        </w:rPr>
        <w:t>E. 3.3</w:t>
      </w:r>
    </w:p>
    <w:p>
      <w:r>
        <w:t>Le Tribunal fédéral a déjà admis la possibilité d'un concours entre les art. 123 CP (lésions corporelles simples) et 219 CP. Il a relevé que les biens juridiquement protégés par les art. 123 et 219 CP, soit l'intégrité physique et mentale d'une part et le développement physique ou psychique d'autre part, sont très proches. Néanmoins, le fait de porter atteinte à l'intégrité physique d'un enfant ne menace pas forcément son développement, d'autant moins s'il s'agit d'actes isolés (arrêt du Tribunal fédéral 6B_1256/2016 du 21 février 2018 consid. 1.3). En revanche, la maltraitance d'un enfant d'une certaine durée et d'une certaine intensité porte non seulement atteinte à son intégrité physique et mentale mais également à son développement physique ou psychique. Les art. 123 et 219 CP doivent ainsi être appliqués en concours (arrêts du Tribunal fédéral 6B_1256/2016 du 21 février 2018 consid. 1.3; 6B_498/2008 du 18 août 2008 consid. 3.3 ; 6S_859/2000 du 2 février 2001 consid. 4c/bb ; 6S_736/2000 du 28 novembre 2000 consid. 1). Le bien protégé par les art. 123 et 126 CP étant similaire, un concours entre les voies de fait qualifiées et la violation du devoir d'assistance ou d'éducation est admissible (arrêt du Tribunal fédéral 6B_1256/2016 du 21 février 2018 consid. 1.4.).</w:t>
      </w:r>
    </w:p>
    <w:p>
      <w:r>
        <w:rPr>
          <w:b/>
        </w:rPr>
        <w:t>E. 3.4</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Il est admis que la règle de conduite peut obliger le condamné à se soumettre à un traitement psychiatrique ou à des contrôles médicaux réguliers, par exemple des contrôles d'urine (arrêt du Tribunal fédéral 6B_1339/2016 du 23 mars 2017 consid. 1.1.2 et les références). Une règle de conduite ordonnant un suivi médical est donc parfaitement admissible.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Le choix et le contenu de la règle de conduite doivent s'inspirer de considérations pédago-giques, sociologiques et médicales (ATF 107 IV 88 consid. 3a p. 89 concernant l'art. 38 ch. 3 a 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Le choix et le contenu des règles de conduite relèvent du pouvoir d'appréciation de l'autorité cantonale (ATF 130 IV 1 consid. 2.1 p. 3 ; arrêt du Tribunal fédéral 6B_1227/2015 du 29 juillet 2016 consid. 1.2.2). 4.4.1. La faute de l'appelant est grave. Il s'en est pris à l'intégrité corporelle de ses jeunes fils et à leur développement physique et psychique, alors qu'il avait le devoir de les protéger. Il a également attenté à l'honneur du nouveau compagnon de son ex-épouse et proféré des menaces graves envers ce dernier, qui ne lui avait rien fait. Ses mobiles relèvent d'un comportement colérique mal maîtrisé aux dépens d'autrui et d'un manque de considération envers l'autre. Cela étant, conformément aux conclusions de l'expertise versée à la procédure, il convient de tenir compte d'une responsabilité moyennement restreinte pour les faits du 26 juillet 2016, de sorte que la faute apparaît de gravité moyenne concernant ceux-ci. La collaboration de l'appelant à la procédure n'a pas été bonne et sa prise de conscience est faible, ainsi qu'en ont témoigné ses dénégations et sa propension à minimiser son rôle. L'expert a, du reste, relevé parmi ses traits de personnalité un recours habituel à la minimisation et une faible capacité de remise en question. Il convient toutefois de prendre acte du fait que l'appelant s'est montré compliant à son suivi addictologique et motivé à parvenir à une abstinence. Sa situation personnelle ne permet pas d'expliquer ses actes. Il y a concours d'infractions, ce qui constitue un motif d'aggravation de la peine, étant relevé que les plus graves, soit la violation du devoir d'assistance ou d'éducation et les menaces, sont passibles d'une peine privative de liberté allant jusqu'à trois ans. L'appelant a, en outre, des antécédents spécifiques. Les menaces et la violation du devoir d'assistance ou d'éducation commises par l'appelant justifient le prononcé d'une peine privative de liberté. En effet, force est d'observer que les précédentes peines pécuniaires infligées à l'appelant n'ont eu aucun effet dissuasif. La peine privative de liberté de huit mois fixée par le premier juge se révèle appropriée, tant à la faute qu'à la situation personnelle de l'appelant. Le bénéfice du sursis lui est acquis (art. 42 al. 1 CP), de même que la renonciation à révoquer le sursis qui lui avait été octroyé le 5 novembre 2015 - moyennant une prolongation du délai d'épreuve d'une année , ainsi que l'exemption d'une peine pécuniaire pour l'infraction d'injures (art. 52 CP), compte tenu de l'interdiction de la reformatio in pejus (art. 391 al. 2 CPP). Le prononcé d'une amende de CHF 500.- et d'une peine privative de liberté de substitution de cinq jours pour sanctionner les voies de fait est conforme à l'art. 106 CP et appropriée à la situation. Au surplus, vu les troubles dont souffre l'appelant et les conclusions de l'expertise réalisée à ce sujet, il ne convient pas de revenir sur le prononcé d'un traitement ambulatoire psychothérapeutique et alcoologique au sens de l'art. 63 CP, qui apparaît essentiel pour pallier le risque de récidive, l'appelant ayant en outre indiqué en percevoir les bénéfices. L'appelant n'a, au demeurant, pas émis de critique particulière s'agissant des peines et autres mesures infligées, dans l'hypothèse où ses arguments seraient écartés. 4.4.2. Le délai d'épreuve fixé à cinq ans est adéquat, à l'instar des règles de conduite ordonnées durant celui-ci. L'appelant s'oppose à tort à ces dernières, ne faisant valoir aucun motif légitime à leur annulation et dans la mesure où le pronostic non défavorable retenu pour le mettre au bénéfice du sursis repose également sur celles-ci. En effet, la règle de conduite portant sur le respect de son traitement ambulatoire est opportune, afin d'en assurer le suivi régulier, dont dépend, en grande partie, l'absence de toute récidive. L'appelant s'est, par ailleurs, encore montré fragile quant au respect de son abstinence, ayant repoussé le traitement [au] R______ qu'il devait initier en janvier 2018 au mois de juillet 2018, sans qu'on ne sache si celui-ci a véritablement été suivi depuis lors. En outre, quand bien même une reprise de contact entre l'appelant et ses enfants serait à favoriser, force est de constater que celle-ci nécessite d'être encadrée, comme l'a jugé le TPI dans son jugement du 20 octobre 2017, de sorte que l'interdiction faite à l'appelant de s'approcher à moins de 300 mètres du domicile de E______ et de D______ et C______ doit être maintenue. Au demeurant, on ne voit pas quel inconvénient cela causerait à l'appelant, qui a lui-même indiqué qu'il n'avait plus d'intérêt à s'approcher dudit domicile. En définitive, l'appel doit être rejeté et le jugement entrepris confirmé.</w:t>
      </w:r>
    </w:p>
    <w:p>
      <w:r>
        <w:rPr>
          <w:b/>
        </w:rPr>
        <w:t>E. 3.4.2</w:t>
      </w:r>
    </w:p>
    <w:p>
      <w:r>
        <w:t>Il est établi qu'à partir du 22 mai 2015, date de son divorce avec E______, l'appelant avait la garde de ses enfants, D______ et C______, laquelle lui avait été conférée d'un commun accord avec son ex-épouse et sans que cela ne prête à discussion avant les faits du 26 juillet 2016. Dès lors, une éventuelle instrumentalisa-tion des enfants par E______ dans la présente procédure afin d'en récupérer la garde, tel que suggéré par l'appelant, apparaît peu plausible. L'appelant revêtait une position de garant à l'égard de ses fils et avait l'obligation d'assurer leur développement physique et psychique, ainsi qu'un devoir de protection envers eux. Or, des excès de consommation d'alcool importants et fréquents de sa part, ayant entraîné de multiples et conséquents épisodes de violences envers ses fils, sont établis par différents éléments au dossier, à commencer par les déclarations circonstanciées et concordantes de D______ et de C______, corroborées par celles de N______ et de O______. Il ressort en particulier de ces déclarations que, plutôt que de protéger ses enfants, l'appelant n'a pas hésité à les exposer, à diverses reprises, à ses états de forte alcoolisation et à leurs conséquences, en les forçant à l'accompagner à ses apéros nocturnes, en divers lieux inadéquats, ou en les empêchant de dormir, en poursuivant notamment ces moments festifs à son domicile. Durant ces épisodes, il apparaît notamment que D______ et C______ se sont retrouvés livrés à eux-mêmes, contraints d'observer, à l'écart, l'appelant boire, puis de subir les conséquences de son alcoolisation, sous forme de honte, de frappes et d'insultes. L'appelant, qui souffre d'une problématique alcoolique depuis de nombreuses années, a du reste finalement admis avoir eu une rechute dans sa consommation d'alcool à compter du mois de février 2016, voire d'avril 2016 au plus tard, et qu'à la suite de celle-ci, un climat agrémenté de violences, dont des moments de " fight ", et d'insultes s'est instauré entre lui et ses fils, mais minimise ses alcoolisations et leurs conséquences de manière peu crédible. Tel que l'a constaté le SPMi, les enfants avaient jusqu'en 2015 une relativement bonne relation avec leur père, de sorte qu'on ne perçoit pas une quelconque raison de leur part de l'accabler faussement de la sorte. La CPAR acquiert ainsi la conviction que les évènements du 26 juillet 2016, lors desquels l'enfant D______ s'est retrouvé contraint d'accompagner l'appelant s'alcoolisant à une heure tardive, livré à lui-même face à l'état d'ébriété de son père et faisant l'objet de violences et d'insultes de sa part, n'étaient qu'un exemple de la manière nuisible dont ces sorties nocturnes pouvaient se terminer pour ses enfants. Il en va de même de l'épisode dit de la "H______". Si ces évènements n'ont occasionné que des voies de fait aux enfants, ils étaient d'une grande violence sur le plan psychique pour des enfants de cet âge, à l'instar du climat général créé par l'appelant durant la garde de ses enfants. Cela est si vrai que le SPMi, qui n'avait pas eu connaissance d'acte de maltraitance auparavant, est immédiatement intervenu auprès du TPAE pour que le droit de garde de l'appelant sur ses fils lui soit retiré après avoir eu connaissance de ceux-ci, en dépit des remarques de l'appelant à ce propos. En agissant de la sorte, l'appelant a incontestablement violé ses devoirs d'assistance et d'éducation envers ses fils. Son comportement parfaitement inadéquat était propre à induire des séquelles durables, à tout le moins psychiques, chez ceux-ci, d'autant qu'il émanait de leur propre père, soit d'un gardien de référence. C______ a d'ailleurs été atteint de telle manière qu'il n'a plus confiance en sa figure paternelle et a souhaité rompre tout contact avec celle-ci, malgré son jeune âge. Quant à D______, les actes de l'appelant et son conflit de loyauté envers celui-ci ont manifestement engendré chez lui une fragilité, tant sur le plan psychologique que sur celui de son développement, tel que cela a été relevé par O______, observé par le témoin M______ et transparaît encore de l'audition EVIG de l'enfant. L'appelant a, par conséquent, non seulement mis en danger l'intégrité physique de ses enfants, mais également concrètement et sérieusement perturbé, à tout le moins, leur développement psychique. Il a agi, à tout le moins, par dol éventuel, ayant reconnu avoir fait preuve de comportements inadéquats et qu'un climat alimenté de trop de violences s'était instauré entre ses fils et lui. Dans ces circonstances, il ne pouvait pas ignorer les conséquences de son comportement. Partant, le verdict de culpabilité rendu à l'encontre de l'appelant du chef de violation de son devoir d'assistance ou d'éducation, en concours avec celui de voies de fait, doit être confirmé.</w:t>
      </w:r>
    </w:p>
    <w:p>
      <w:r>
        <w:rPr>
          <w:b/>
        </w:rPr>
        <w:t>E. 4</w:t>
      </w:r>
    </w:p>
    <w:p>
      <w:r>
        <w:t>4.1. L'infraction à l'art. 219 al. 1 CP est punie d'une peine privative de liberté de trois ans au plus ou d'une peine pécuniaire, à l'instar des menaces (art. 180 CP). Les injures (art. 177 CP) sont réprimées d'une peine pécuniaire de 90 jours-amende au plus et les voies de fait (art. 126 CP) de l'amende. 4.2.1. À l'aune de l'art. 2 CP, la réforme du droit des sanctions entrée en vigueur le 1 er janvier 2018 marque un durcissement du droit des sanctions et est ainsi, en principe, moins favorable à la personne condamnée (M. DUPUIS et al. , op. cit. , n. 6 ad art. 34 à 41 CP). 4.2.2. En l'occurrence, il sera faitapplication du droit en vigueur jusqu'au 31 décembre 2017, les actes reprochés ayant été commis sous l'empire de ce droit, et le nouveau droit des sanctions n'apparaissant pas plus favorable à l'appelant.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4.3.2. Le juge atténue la peine en application de l'art. 19 al. 2 CP si, au moment d'agir, l'auteur ne possédait que partiellement la faculté d'apprécier le caractère illicite de son acte ou de se déterminer d'après cette appréciation. 4.3.3.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w:t>
      </w:r>
    </w:p>
    <w:p>
      <w:r>
        <w:t>Compte tenu de ce qui précède, il n'y a pas lieu de revenir sur les indemnités en tort moral accordées à C______ et D______ selon l'art. 49 de la loi fédérale du 30 mars 1911, complétant le Code civil suisse (CO, Code des obligations - RS 220), dont la gravité n'est à juste titre pas critiquée.</w:t>
      </w:r>
    </w:p>
    <w:p>
      <w:r>
        <w:rPr>
          <w:b/>
        </w:rPr>
        <w:t>E. 6</w:t>
      </w:r>
    </w:p>
    <w:p>
      <w:r>
        <w:t>Les motifs ayant conduit le premier juge à prolonger, par ordonnance séparée du 28 juin 2018, les mesures de substitution décidées par le TMC, selon ses ordonnances des 22 août 2016 et 30 octobre 2017, sont toujours d'actualité, de sorte que celles-ci seront reconduites mutatis mutandis (ATF 139 IV 277 consid. 2.2 à 2.3).</w:t>
      </w:r>
    </w:p>
    <w:p>
      <w:r>
        <w:rPr>
          <w:b/>
        </w:rPr>
        <w:t>E. 7</w:t>
      </w:r>
    </w:p>
    <w:p>
      <w:r>
        <w:t>L'appelant, qui succombe, supportera les frais de la procédure envers l'État, comprenant un émolument de CHF 1'500.- (art. 428 CPP et art. 14 al. 1 let. e du Règlement fixant le tarif des frais en matière pénale ; E 4 10.03).</w:t>
      </w:r>
    </w:p>
    <w:p>
      <w:r>
        <w:rPr>
          <w:b/>
        </w:rPr>
        <w:t>E. 8</w:t>
      </w:r>
    </w:p>
    <w:p>
      <w:r>
        <w:t>Dans ces conditions, il n'y a pas lieu de faire droit à ses conclusions en indemnisation (art. 429 CPP a contrario ).</w:t>
      </w:r>
    </w:p>
    <w:p>
      <w:r>
        <w:rPr>
          <w:b/>
        </w:rPr>
        <w:t>E. 9</w:t>
      </w:r>
    </w:p>
    <w:p>
      <w:r>
        <w:t>9.1.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9.4</w:t>
      </w:r>
    </w:p>
    <w:p>
      <w:r>
        <w:t>En l'occurrence, la note de frais produite par le défenseur d'office de A______ est globalement adéquate, sous réserve des 30 minutes consacrées à la rédaction de la déclaration d'appel, dans la mesure où cette prestation est incluse dans le forfait pour l'activité diverse et où une telle écriture ne requiert pas de motivation. En outre, le temps comptabilisé pour l'audience devant la CPAR sera ramené à 1h15. Compte tenu de la particularité de la situation, les frais de déplacement du mandataire à l'hôpital pour aller rencontrer son client le 15 février 2019 seront pris en compte. En conclusion, l'indemnité due à M e B______ sera arrêtée à CHF 1'400.10, correspondant à 5h00 d'activité au tarif horaire de CHF 200.-, plus la majoration forfaitaire de 10% l'activité globale déployée excédant 30h00 - (CHF 100.-), CHF 200.- de frais de déplacement à l'hôpital le 15 février 2019 et à l'audience devant la CPAR, ainsi que l'équivalent de la TVA au taux de 7.7% (CHF 100.10).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