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P/13971/2019 vom 6. Januar 2020</w:t>
      </w:r>
    </w:p>
    <w:p>
      <w:r>
        <w:t>GE Cour de justice, 2020-01-06, FR</w:t>
      </w:r>
    </w:p>
    <w:p>
      <w:r>
        <w:rPr>
          <w:b/>
        </w:rPr>
        <w:t xml:space="preserve">Quelle: </w:t>
      </w:r>
      <w:r>
        <w:t>https://mcp.opencaselaw.ch/entscheid/ge_gerichte_P_13971_2019</w:t>
      </w:r>
    </w:p>
    <w:p>
      <w:r>
        <w:t>FR: GE_GERICHTE P/13971/2019 du 6 janvier 2020</w:t>
      </w:r>
    </w:p>
    <w:p>
      <w:r>
        <w:t>IT: GE_GERICHTE P/13971/2019 del 6 gennaio 2020</w:t>
      </w:r>
    </w:p>
    <w:p>
      <w:pPr>
        <w:pStyle w:val="Heading2"/>
      </w:pPr>
      <w:r>
        <w:t>Regeste</w:t>
      </w:r>
    </w:p>
    <w:p>
      <w:r>
        <w:t>FOUILLE DE PERSONNES;TÉLÉPHONE MOBILE;PREUVE ILLICITE;DISPOSITIONS PÉNALES DE LA LSTUP;FIXATION DE LA PEINE | LStup.19.al1.letc; LStuo.19.al1.letd; LStup.19.al2.leta; CP.47; CPP.141.al2; CP.66a.al1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 arrêt du tribunal fédéral 6B_998/2017 du 20 avril 2018 consid. 2.2.1).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En conclusion, l'on peut dire que le code subdivise la réglementation des moyens de preuve obtenus illégalement en trois catégories. Ainsi, s'il s'agit de la violation d'une prescription d'ordre, la preuve peut en tout temps être utilisée (art. 141 al. 3 CPP) ; si l'on a affaire à la violation d'une règle de validité, la preuve illicite ne peut être exploitée qu'en cas d'infraction grave (art. 141 al. 2 CPP) et si elle est indispensable ; en dernier lieu, si la preuve illicite a été obtenue par le biais de la contrainte, de la force, des menaces, des promesses, de la tromperie ou des moyens susceptibles de limiter le libre-arbitre et les facultés intellectuelles, la preuve n'est jamais admissible et ne peut jamais être exploitée (art. 141 al. 1 CPP).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 JdT 2014 IV 15 consid. 1.6). Le Tribunal fédéral a jugé que la fouille par des fonctionnaires de police dans le E______ d'une personne appréhendée, soit dans le répertoire d'adresses enregistrées, sans l'autorisation préalable du Ministère public ne conduisait pas à une interdiction d'exploiter, la nécessité du mandat de perquisition relevant en l'occurrence de la simple prescription d'ordre dès lors que les conditions pour la perquisition de le E______ étaient en tant que telles réalisées, la mesure n'était pas disproportionnée, les policiers s'étaient apparemment limités à prendre les adresses stockées dans l'appareil et qu'il n'y avait aucune raison de penser qu'ils avaient sciemment omis de requérir un mandat de la part du Ministère public (ATF 139 IV 128 = JdT 2014 IV 15 consid. 1.7).</w:t>
      </w:r>
    </w:p>
    <w:p>
      <w:r>
        <w:rPr>
          <w:b/>
        </w:rPr>
        <w:t>E. 2.2</w:t>
      </w:r>
    </w:p>
    <w:p>
      <w:r>
        <w:t>En l'espèce, le prévenu a été interpellé par la police le 22 janvier 2019 pour la quatrième fois depuis le 30 septembre 2012. Partant, il était parfaitement au courant de ses droits le 22 janvier 2019 avant même d'avoir signé le formulaire ad hoc , étant relevé qu'il ne soutient pas le contraire. Il connaissait ainsi en particulier son droit de ne pas s'auto incriminer au moment où il a signé le formulaire autorisant la police à procéder à la fouille de son téléphone portable F______. Au moment de son interpellation, il détenait dans son sac trois quittances d'envoi d'argent au Sénégal datées du 27 septembre et du 18 avril 2018 pour des montants de CHF 93.10, CHF 95.- et CHF 333.-. Dans la mesure où il était sans statut à Genève, démuni de papiers d'identité et apparemment de moyens de subsistances légaux, la police était fondée à le soupçonner d'un trafic de stupéfiants, ce qui s'est révélé avéré. Comme c'était le cas dans l'arrêt du Tribunal fédéral susmentionné (ATF 139 IV 128 ), la police s'est en l'espèce limitée à relever les numéros des contacts stockés dans l'appareil F______ du prévenu qui n'était, ce qui ressort de son rapport, pas verrouillé. Par conséquent, l'examen de son téléphone était licite, ce qui est également le cas des preuves recueillies ultérieurement sur cette base, à savoir les témoignages de divers clients toxicomanes. La question préjudicielle est rejetée.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 6B_1183/2016 du 24 août 2017 consid. 1.1 ; 6B_445/2016 du 5 juillet 2017 consid. 5.1).</w:t>
      </w:r>
    </w:p>
    <w:p>
      <w:r>
        <w:rPr>
          <w:b/>
        </w:rPr>
        <w:t>E. 3.2</w:t>
      </w:r>
    </w:p>
    <w:p>
      <w:r>
        <w:t>L'art. 19 al. 1 let. c et d LStup punit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A Genève, de jurisprudence constante, l'on retient, pour la cocaïne, le bas de la fourchette du taux de pureté moyen du marché local, soit 20% (cf. AARP/207/2011 du 15 décembre 2011 ; ACJP/2015/2010 du 18 octobre 2010), cette méthode ayant été confirmée par le Tribunal fédéral (arrêt du Tribunal fédéral 6B_632/2008 du 10 mars 2009 consid. 1).</w:t>
      </w:r>
    </w:p>
    <w:p>
      <w:r>
        <w:rPr>
          <w:b/>
        </w:rPr>
        <w:t>E. 3.3</w:t>
      </w:r>
    </w:p>
    <w:p>
      <w:r>
        <w:t>En l'espèce, lors de son interpellation, l'appelant détenait sur lui deux téléphones portables, dont l'un de marque F______ correspondant au raccordement (2______), dont l'examen a permis l'identification d'à tout le moins 34 consommateurs de cocaïne, et pour l'un d'eux, en sus, de marijuana, qui utilisaient le raccordement précité pour se procurer de la drogue. Une trentaine de ces consommateurs ont été entendus par la police. Certains d'entre eux ont formellement reconnu l'appelant sur présentation d'une planche de photographies, d'autres non. Bien que les témoignages des individus ayant identifié l'appelant suffisent à confirmer l'existence d'un trafic de stupéfiants, il est encore relevé pour le surplus que la quasi-totalité des consommateurs entendus ont été concordants sur le fait qu'ils s'approvisionnaient en cocaïne par transactions de boulettes d'1 gr gramme vendues CHF 100.- l'unité auprès d'un dealer de type africain surnommé "H______", qui utilisait le raccordement précité. Ceux qui ont été interrogés à ce sujet ont systématiquement nié la possibilité qu'un second dealer ait pu utiliser ce même numéro de téléphone et les avoir fournis en drogue. Au contraire, il ressort de la quasi-totalité des témoignages que "H______" était leur unique fournisseur et, aux dires de certains, qu'il se présentait toujours seul lors des transactions. La thèse soutenue par l'appelant à cet égard, selon laquelle le téléphone en question appartenait à l'un de ses amis qui le lui laissait quand il partait en vacances pour qu'il reprenne le trafic de cocaïne à son compte est, partant, fantaisiste et bien en-deçà de sa réelle implication. La découverte sur l'appelant à son arrivée à la prison B______ de 11 boulettes de cocaïne d'un poids total de 10.35 gr étaye cette implication, une telle quantité n'étant pas compatible avec une consommation personnelle, au demeurant jamais avancée par le prévenu. Ses explications sur la découverte de cette drogue au moment de prendre sa douche à son arrivée à la prison sont à nouveau dépourvues de toute consistance dans la mesure où il est bien peu plausible que des gardiens, voire la police en amont, dont on peine à comprendre quelle serait leur motivation, auraient caché de la drogue dans son pantalon. L'antécédent lié aux stupéfiants de l'appelant renforce encore ces charges. Au regard des affirmations des consommateurs entendus, considérées comme crédibles (cf. supra consid. B.g.d.), la quantité de cocaïne leur ayant été vendue par l'appelant peut être estimée à 129 gr, au total, dans la fourchette inférieure la plus favorable au prévenu. S'y ajoutent les 11 boulettes de cocaïne d'un poids d'environ 10 gr susmentionnées, ce qui porte la quantité totale de cocaïne vendue par le prévenu ou qu'il destinait à la vente à 139 gr. En l'absence d'analyse du taux de pureté des stupéfiants encore disponibles et conformément à la jurisprudence en la matière, le taux de pureté moyen a valablement été fixé à 20% par le premier juge. Avec un tel taux de pureté, correspondant par ailleurs au bas de la fourchette de celui du marché local, la quantité de drogue pure dépasse déjà le seuil minimal de 18 gr suffisant pour mettre la vie de nombreuses personnes en danger (139 gr x 20% = 27,8 gr). La culpabilité de l'appelant s'agissant de la violation grave de la LStup sera, partant, confirmée.</w:t>
      </w:r>
    </w:p>
    <w:p>
      <w:r>
        <w:rPr>
          <w:b/>
        </w:rPr>
        <w:t>E. 4</w:t>
      </w:r>
    </w:p>
    <w:p>
      <w:r>
        <w:t>L'infraction grave à la LStup (art. 19 al. 1 let. c et d et al. 2 let. a LStup) est passible d'une peine privative de liberté d'un an au moins et de vingt ans au plus, tandis que le séjour illégal (art. 115 al. 1 LEI) est passible d'une peine privative de liberté d'un an au plus ou d'une peine pécuniaire. 4.1.1.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4.1.2. En matière de trafic de stupéfiants, il y a lieu de tenir compte, plus spécialement, des circonstances suivantes.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4.1.3.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2009, n. 55 ad art. 47 CP). Une série d'infractions semblables pèse plus lourd que des actes de nature différente. Les condamnations passées perdent de leur importance avec l'écoulement du temps (ATF 135 IV 87 consid. 2 p. 89). 4.1.4.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4.2.1. À l'aune de l'art. 2 CP, la réforme du droit des sanctions, entrée en vigueur le 1 er janvier 2018, est en règle générale moins favorable à la personne condamnée (M. DUPUIS / L. MOREILLON / C. PIGUET / S. BERGER / M. MAZOU / V. RODIGARI [éds], Code pénal - Petit commentaire , 2e éd., Bâle 2017,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En l'espèce, les faits reprochés ont été commis avant l'entrée en vigueur du nouveau droit des sanctions. Vu la révocation du sursis (cf. infra consid. 4.3.), le nouveau droit des sanctions paraît plus favorable à l'appelant. Il sera partant appliqué. 4.2.2.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4.2.3.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Les conditions subjectives auxquelles l'art. 42 CP soumet l'octroi du sursis intégral s'appliquent également à l'octroi du sursis partiel (ATF 139 IV 270 consid. 3.3 p. 277 ; ATF 134 IV 1 consid. 5.3.1 p. 10). Par conditions subjectives, il faut entendre notamment la condition posée à l'art. 42 al. 2 CP (ATF 134 IV 1 consid. 4.2 et 4.2.3 p. 5 ss).</w:t>
      </w:r>
    </w:p>
    <w:p>
      <w:r>
        <w:rPr>
          <w:b/>
        </w:rPr>
        <w:t>E. 4.3</w:t>
      </w:r>
    </w:p>
    <w:p>
      <w:r>
        <w:t>L'appelant ne conteste à juste titre pas le genre de peine sanctionnant les délits, mais en demande la réduction et l'octroi d'un sursis. En l'espèce, sa faute peut être qualifiée d'importante. Il s'est livré à un trafic de cocaïne, une drogue dure, pendant plusieurs années, soit depuis 2016 à tout le moins, selon les témoignages de certains consommateurs. Ce trafic a porté sur une quantité de drogue pure propre à mettre en danger la santé de nombreuses personnes. La liste des clients du prévenu était conséquente, la police en ayant identifié potentiellement 80 dans son téléphone, même si 30 seulement ont finalement été entendus et que 14 d'entre eux l'ont formellement reconnu. Il ressort des auditions de ces derniers qu'il s'agissait pour certains d'entre eux de clients fidèles, ce qui démontre que l'appelant n'a pas agi de manière ponctuelle seulement, mais s'est volontairement inscrit durablement dans la délinquance. Il est en outre demeuré illégalement sur le territoire suisse durant une période pénale à tout le moins d'environ quatre ans, alors que sa demande d'asile avait été rejetée en 2013 et qu'il faisait l'objet d'une décision de renvoi. Son mobile, qui relève de l'appât du gain facile, est purement égoïste. Sa situation personnelle, certes précaire, ne justifie pas ses actes, ce d'autant moins qu'elle est la conséquence de sa décision de rester illégalement en Suisse. Sa collaboration est nulle, tout comme sa prise de conscience, dès lors qu'il n'a pas cessé de nier sa culpabilité, de fournir aux autorités des explications fantaisistes s'agissant de son implication dans le trafic de stupéfiants, et à s'obstiner à affirmer ne pas avoir su qu'il n'était pas autorisé à demeurer sur le territoire suisse. Il n'a par ailleurs jamais mesuré la portée de ses actes et leurs conséquences. Sa récidive démontre qu'il n'a pas tiré de leçon de ses précédentes condamnations. Les antécédents judiciaires de l'appelant sont récents et spécifiques, portant sur des infractions à la LStup et à la LEI (aLEtr), ce qui démontre que les condamnations dont il a fait l'objet n'ont eu aucun impact sur son comportement. Le pronostic quant à son comportement futur est clairement défavorable, dans la mesure où il a délibérément persisté dans ses agissements délictueux en dépit de ses condamnations des 12 mars 2014 et 12 septembre 2016 et du sursis lui ayant été octroyé en 2014, non révoqué par la CPAR en 2016 mais dont la durée du délai d'épreuve a été prolongée d'une année et six mois. La situation personnelle actuelle du prévenu n'est pas meilleure que celle préexistant au moment des infractions et il ne démontre pas avoir changé d'attitude. Une peine ferme s'impose dans ces conditions, de même que la révocation du sursis du 12 mars 2014 (peine pécuniaire de 90 jours-amende à CHF 30.-). Il y a concours d'infractions entre les art. 19 al. 1 let. c et d et al. 2 let. a LStup, et 115 al. 1 let. b LEI, ce qui commande une augmentation de la peine dans une juste proportion et exclut l'application de la Directive 2008/115/CE du Parlement européen et du Conseil relative aux normes et procédures communes applicables dans les Etats membres au retour des ressortissants de pays tiers en séjour irrégulier du 16 décembre 2018 (Directive sur le retour) (arrêt du Tribunal fédéral 6B_320/2013 du 29 août 2013 consid. 3.2). Comme développé à bon escient par le premier juge, la peine plancher de l'infraction grave à la LStup est une peine privative de liberté d'un an. L'infraction de séjour illégal, elle, peut être sanctionnée par une peine privative d'un an au plus ou d'une peine pécuniaire. Eu égard à la récidive spécifique de l'appelant, le séjour illégal doit également être puni d'une peine privative de liberté, seule à même de le détourner de la commission de nouvelles infractions. Au regard de ce qui précède et tout bien pesé, la peine de 18 mois fixée par le Tribunal de police apparaît proportionnée et adéquate et sera par conséquent confirmée.</w:t>
      </w:r>
    </w:p>
    <w:p>
      <w:r>
        <w:rPr>
          <w:b/>
        </w:rPr>
        <w:t>E. 5</w:t>
      </w:r>
    </w:p>
    <w:p>
      <w:r>
        <w:t>5.1.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Dans son projet du 26 juin 2013,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(Message concernant une modification du code pénal et du code pénal militaire [mise en oeuvre de l'art. 121, al. 3 à 6, Cst. relatif au renvoi des étrangers criminels], FF 2013 5423). Le législateur n'a toutefois pas retenu les seuils minimaux proposés par le Conseil fédéral.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oeuvre de l'initiative sur le renvoi, questions choisies et premières jurisprudences, in Forumpoenale 5/2017 p. 315 ; G. FIOLKA / L. VETTERLI, Die Landesverweisung in Art. 66a ff StGB als strafrechtliche Sanktion, in Plädoyer 5/2016 p. 84).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de la loi fédérale sur les étrangers [LEtr - RS 142.20],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La jurisprudence rendue en droit des étrangers retient que la révocation de l'autorisation d'établissement d'un étranger qui séjourne depuis longtemps en Suisse doit se faire avec une retenue particulière. Elle n'est toutefois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Une approche schématique qui consisterait à présumer, à partir d'une certaine durée de séjour en Suisse, que l'étranger y est enraciné et dispose de ce fait d'un droit de présence dans notre pays ne doit pas être adoptée. Une pesée des intérêts en présence doit lui être préférée, en considérant la durée du séjour en Suisse comme un élément parmi d'autres et en n'accordant qu'un faible poids aux années passées en Suisse dans l'illégalité, en prison ou au bénéfice d'une simple tolérance (ATF 134 II 10 consid. 4.3 ; arrêts du Tribunal fédéral 6B_661/2019 du 12 septembre 2019 consid. 3.3.1 et 3.3.2 et référence citée).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cahier spécial, Plaidoyer 5/2016, p. 87 ; AARP/185/2017 du 2 juin 2017 consid. 2.2).</w:t>
      </w:r>
    </w:p>
    <w:p>
      <w:r>
        <w:rPr>
          <w:b/>
        </w:rPr>
        <w:t>E. 5.2</w:t>
      </w:r>
    </w:p>
    <w:p>
      <w:r>
        <w:t>En l'espèce, l'appelant est notamment condamné pour infraction grave à la LStup, dont il est fait mention à l'art. 66a al. 1 let. o CP comme infraction donnant lieu à l'expulsion obligatoire. Il est arrivé en Suisse en 2012 en provenance d'Afrique et y a déposé une demande d'asile, de laquelle il a définitivement été débouté en 2013. Il a affirmé n'avoir jamais quitté le pays depuis son arrivée. Il s'est livré à un trafic de stupéfiants à tout le moins entre 2016 et 2019. La durée de son séjour en Suisse est certes longue, mais sa portée doit être relativisée puisqu'elle n'a jamais été autorisée. L'appelant y a vécu durant six ans sous le coup d'une décision de renvoi et dans l'illégalité, s'adonnant de plus à un trafic de stupéfiants pour subvenir à ses besoins. Cette attitude, qui démontre son manque de respect de l'autorité et des lois, ne saurait être prise en compte en sa faveur, son long séjour en Suisse étant la conséquence d'un comportement illicite, et non d'une tolérance particulière des autorités, il ne peut donc pas être retenu dans l'appréciation des conditions du prononcé d'une expulsion. L'appelant ne s'est pas intégré en Suisse et, du fait de son statut administratif, n'a jamais eu d'activité professionnelle déclarée. Il n'a pas de domicile fixe et affirme loger chez des amis. De surcroît, aucun membre de sa famille ne réside en Suisse, étant précisé que l'existence d'une fille à Fribourg n'est nullement démontrée, étant relevé qu'il ne l'a au demeurant pas reconnue et refusé de donner l'identité de sa mère. Partant, cette information, qui ne peut pas être vérifiée, ne sera pas retenue. L'intérêt public au renvoi de l'appelant est prépondérant, au regard de la gravité des infractions présentement sanctionnées et du risque de récidive découlant du statut administratif de l'appelant, qui l'empêche de facto de gagner sa vie en toute légalité. Il est encore relevé que l'appelant fait déjà l'objet d'une interdiction d'entrée en Suisse en vigueur jusqu'au 24 octobre 2023, à laquelle il doit en tout état de cause se conformer. Au vu de ce qui précède, l'expulsion prononcée par le Tribunal de police, dont la durée correspond au minimum légal, doit être confirmée.</w:t>
      </w:r>
    </w:p>
    <w:p>
      <w:r>
        <w:rPr>
          <w:b/>
        </w:rPr>
        <w:t>E. 6</w:t>
      </w:r>
    </w:p>
    <w:p>
      <w:r>
        <w:t>Les motifs ayant conduit le premier juge à prononcer, par ordonnance séparée OTDP/1639/2019 du 22 août 2019, le maintien de A______, appelant, en détention pour des motifs de sûreté sont toujours d'actualité, de sorte que la mesure sera reconduite mutatis mutandis (ATF 139 IV 277 consid. 2.2 à 2.3).</w:t>
      </w:r>
    </w:p>
    <w:p>
      <w:r>
        <w:rPr>
          <w:b/>
        </w:rPr>
        <w:t>E. 7.1</w:t>
      </w:r>
    </w:p>
    <w:p>
      <w:r>
        <w:t>L'appelant, qui succombe, supportera les frais de la procédure envers l'État (art. 428 CPP).</w:t>
      </w:r>
    </w:p>
    <w:p>
      <w:r>
        <w:rPr>
          <w:b/>
        </w:rPr>
        <w:t>E. 7.2</w:t>
      </w:r>
    </w:p>
    <w:p>
      <w:r>
        <w:t>Il n'y a pas lieu de revoir la répartition des frais de première instance dans la mesure où le jugement du Tribunal de police est intégralement confirmé.</w:t>
      </w:r>
    </w:p>
    <w:p>
      <w:r>
        <w:rPr>
          <w:b/>
        </w:rPr>
        <w:t>E. 8</w:t>
      </w:r>
    </w:p>
    <w:p>
      <w:r>
        <w:t>Par identité de motifs, l'appelant ne saurait prétendre à une quelconque indemnité fondée sur l'art. 429 al. 1 let. c CPP.</w:t>
      </w:r>
    </w:p>
    <w:p>
      <w:r>
        <w:rPr>
          <w:b/>
        </w:rPr>
        <w:t>E. 9</w:t>
      </w:r>
    </w:p>
    <w:p>
      <w:r>
        <w:t>9.1.1.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9.1.2. Conformément à l'art. 16 al. 2 RAJ, seules les heures nécessaires sont retenues. Elles sont appréciées en fonction notamment de la nature, de l'importance, et des difficultés de la cause, de la valeur litigieuse, de la qualité du travail fourni et du résultat obtenu. 9.1.3.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9.2</w:t>
      </w:r>
    </w:p>
    <w:p>
      <w:r>
        <w:t>En l'occurrence, l'état de frais produit par le conseil de l'appelant paraît adéquat et conforme aux dispositions et principes qui précèdent, de sorte qu'il sera admis sans en reprendre le détail. En conclusion, l'indemnité sera arrêtée à CHF 2'073.20 correspondant à 8h45 heures d'activité au tarif de CHF 200.-/heure (CHF 1'750.-), plus la majoration forfaitaire de 10% (compte tenu de l'activité indemnisée en première instance ; CHF 175.-) et l'équivalent de la TVA au taux de 7.7% en CHF 148.20.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