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P/13956/2024 vom 8. Juli 2025</w:t>
      </w:r>
    </w:p>
    <w:p>
      <w:r>
        <w:t>GE Cour de justice, 2025-07-08, FR</w:t>
      </w:r>
    </w:p>
    <w:p>
      <w:r>
        <w:rPr>
          <w:b/>
        </w:rPr>
        <w:t xml:space="preserve">Quelle: </w:t>
      </w:r>
      <w:r>
        <w:t>https://mcp.opencaselaw.ch/entscheid/ge_gerichte_P_13956_2024</w:t>
      </w:r>
    </w:p>
    <w:p>
      <w:r>
        <w:t>FR: GE_GERICHTE P/13956/2024 du 8 juillet 2025</w:t>
      </w:r>
    </w:p>
    <w:p>
      <w:r>
        <w:t>IT: GE_GERICHTE P/13956/2024 del 8 luglio 2025</w:t>
      </w:r>
    </w:p>
    <w:p>
      <w:pPr>
        <w:pStyle w:val="Heading2"/>
      </w:pPr>
      <w:r>
        <w:t>Regeste</w:t>
      </w:r>
    </w:p>
    <w:p>
      <w:r>
        <w:t>RÉVISION(DÉCISION);ORDONNANCE PÉNALE;DÉCISION D'IRRECEVABILITÉ | CPP.410.al1.leta</w:t>
      </w:r>
    </w:p>
    <w:p>
      <w:pPr>
        <w:pStyle w:val="Heading2"/>
      </w:pPr>
      <w:r>
        <w:t>Erwägungen</w:t>
      </w:r>
    </w:p>
    <w:p>
      <w:r>
        <w:rPr>
          <w:b/>
        </w:rPr>
        <w:t>E. 1</w:t>
      </w:r>
    </w:p>
    <w:p>
      <w:r>
        <w:t>La CPAR est l'autorité compétente en matière de révision (art. 21 al. 1 let. b du Code de procédure pénale [CPP] cum art. 130 al. 1 let. a de la Loi sur l'organisation judiciaire [LOJ]).</w:t>
      </w:r>
    </w:p>
    <w:p>
      <w:r>
        <w:rPr>
          <w:b/>
        </w:rPr>
        <w:t>E. 2</w:t>
      </w:r>
    </w:p>
    <w:p>
      <w:r>
        <w:t>2.1.1. L'art. 410 al. 1 let. a CPP permet à toute personne lésée par une ordonnance pénale d'en demander la révision s'il existe des faits nouveaux antérieurs au prononcé ou de nouveaux moyens de preuve qui sont de nature à motiver l'acquittement ou une condamnation sensiblement moins sévère du condamné. 2.1.2 . De manière générale, la procédure de révision ne doit pas servir à remettre en cause des décisions entrées en force, à détourner des dispositions légales sur les délais de recours ou celles sur la restitution des dits délais, voire à introduire des faits non présentés dans le premier procès en raison d'une négligence procédurale (ATF 145 IV 197 consid. 1.1 ; 130 IV 72 consid. 2.2).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6B_1125/2023 du 21 mai 2024 consid. 3.1 ; 6B_32/2022 du 5 mai 2022 consid. 1.5 ; 6B_273/2020 du 27 avril 2020 consid. 1.2).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eu égard à des faits et des moyens de preuve importants que le condamné ne connaissait pas au moment du prononcé de l'ordonnance ou dont il ne pouvait pas se prévaloir ou n'avait pas de raisons de se prévaloir à l'époque. L'abus de droit ne devant être admis qu'avec retenue, il s'agit dans chaque cas d'examiner, au regard des circonstances de l'espèce, si la demande tend à contourner les voies de droit ordinaires (ATF 145 IV 197 consid. 1.1 p. 199).</w:t>
      </w:r>
    </w:p>
    <w:p>
      <w:r>
        <w:rPr>
          <w:b/>
        </w:rPr>
        <w:t>E. 2.2</w:t>
      </w:r>
    </w:p>
    <w:p>
      <w:r>
        <w:t>. La juridiction d'appel n'entre pas en matière si la demande de révision est manifestement irrecevable ou non motivée ou si une demande de révision invoquant les mêmes motifs a déjà été rejetée par le passé (art. 412 al. 2 CPP). L'autorité saisie peut également refuser d'entrer en matière lorsque la demande de révision apparaît abusive (arrêts du Tribunal fédéral du 6B_882/2017 du 23 mars 2018 consid. 1.1 ; 6B_1170/2015 du 10 octobre 2016 consid. 2).</w:t>
      </w:r>
    </w:p>
    <w:p>
      <w:r>
        <w:rPr>
          <w:b/>
        </w:rPr>
        <w:t>E. 2.3</w:t>
      </w:r>
    </w:p>
    <w:p>
      <w:r>
        <w:t>. En l'espèce, la demanderesse a été informée de l'excès de vitesse commis par un véhicule dont elle est détentrice. Il est établi que l'ordonnance pénale du 21 août 2024 lui a été ensuite valablement notifiée le 27 août 2024, au même titre que le courrier du MP du 7 juin 2024, comme cela ressort du suivi des envois. Malgré cela, elle n'a réagi que tardivement à la notification de l'ordonnance pénale, attendant un rappel de paiement. La demanderesse n'a pas invoqué, ni même allégué, de motifs valables et nouveaux justifiant son absence de réaction dans le délai légal. Les pièces pouvaient, et devaient, être produites dans le cadre de la procédure d'opposition. La demanderesse ne saurait ainsi, par le biais d'une demande en révision, suppléer à ses propres carences. Au vu des circonstances, dans le cadre restreint par la jurisprudence de la révision d'une ordonnance pénale, le comportement de la demanderesse relève de l'abus de droit. Il n'est ainsi pas possible de faire droit à sa demande de révision, dont l'admission reviendrait à admettre un moyen de contourner la voie de droit ordinaire. La demande en révision apparaît d'emblée mal fondée.</w:t>
      </w:r>
    </w:p>
    <w:p>
      <w:r>
        <w:rPr>
          <w:b/>
        </w:rPr>
        <w:t>E. 3</w:t>
      </w:r>
    </w:p>
    <w:p>
      <w:r>
        <w:t>La demanderesse succombant, les frais de la procédure, comprenant un émolument de CHF 400.-, seront mis à sa charge (art. 428 al. 1 CPP a contrario et art. 14 al. 1 let. b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