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P/13930/2020 vom 4. April 2024</w:t>
      </w:r>
    </w:p>
    <w:p>
      <w:r>
        <w:t>GE Cour de justice, 2024-04-04, FR</w:t>
      </w:r>
    </w:p>
    <w:p>
      <w:r>
        <w:rPr>
          <w:b/>
        </w:rPr>
        <w:t xml:space="preserve">Quelle: </w:t>
      </w:r>
      <w:r>
        <w:t>https://mcp.opencaselaw.ch/entscheid/ge_gerichte_P_13930_2020</w:t>
      </w:r>
    </w:p>
    <w:p>
      <w:r>
        <w:t>FR: GE_GERICHTE P/13930/2020 du 4 avril 2024</w:t>
      </w:r>
    </w:p>
    <w:p>
      <w:r>
        <w:t>IT: GE_GERICHTE P/13930/2020 del 4 aprile 2024</w:t>
      </w:r>
    </w:p>
    <w:p>
      <w:pPr>
        <w:pStyle w:val="Heading2"/>
      </w:pPr>
      <w:r>
        <w:t>Regeste</w:t>
      </w:r>
    </w:p>
    <w:p>
      <w:r>
        <w:t>LÉGITIME DÉFENSE;LÉSION CORPORELLE SIMPLE;INJURE | CP.123.al1; CP.177.al1; CP.15; LAVS.87</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CEDH et par les art. 32 al. 1 de la Constitution fédérale de la Confédération suisse (Cst.) et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 127 I 38 consid. 2a ; 124 IV 86 consid. 2a).</w:t>
      </w:r>
    </w:p>
    <w:p>
      <w:r>
        <w:rPr>
          <w:b/>
        </w:rPr>
        <w:t>E. 2.2</w:t>
      </w:r>
    </w:p>
    <w:p>
      <w:r>
        <w:t>L'art. 251 ch. 1 CP réprime le comportement de quiconque,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vise tant le faux matériel que le faux intellectuel.</w:t>
      </w:r>
    </w:p>
    <w:p>
      <w:r>
        <w:rPr>
          <w:b/>
        </w:rPr>
        <w:t>E. 2.2.1</w:t>
      </w:r>
    </w:p>
    <w:p>
      <w:r>
        <w:t>Cette disposition protège la confiance particulière accordée dans les relations juridiques à un titre en tant que moyen de preuve (arrêt du Tribunal fédéral 6B_421/2008 du 21 août 2009 consid. 5.3.1). La tromperie n'a pas besoin d'être astucieuse (arrêt du Tribunal fédéral 6B_455/2008 du 26 décembre 2008 consid. 2.2.1).</w:t>
      </w:r>
    </w:p>
    <w:p>
      <w:r>
        <w:rPr>
          <w:b/>
        </w:rPr>
        <w:t>E. 2.2.2</w:t>
      </w:r>
    </w:p>
    <w:p>
      <w:r>
        <w:t>L'art. 251 CP vise tant le faux matériel que le faux intellectuel. Le faux intellectuel vise l'établissement d'un titre qui émane de son auteur apparent, mais qui est mensonger dans la mesure où son contenu ne correspond pas à la réalité. Un simple mensonge écrit ne constitue pas un faux intellectuel punissable.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capacité accrue de convaincre, parce qu'il présente des garanties objectives de la véridicité de son contenu. Pour que le mensonge soit punissable comme faux intellectuel, il faut que le document ait une valeur probante plus grande que dans l'hypothèse d'un faux matériel.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144 IV 13 consid. 2.2.3 ; 142 IV 119 consid. 2.1 ; 138 IV 130 consid. 2.1 ; arrêt du Tribunal fédéral 6B_55/2017 du 24 mars 2017 consid. 2.2). Tel est le cas lorsque certaines assurances objectives garantissent aux tiers la véracité de la déclaration. Il peut s'agir, par exemple, d'un devoir de vérification qui incombe à l'auteur du document ou encore de l'existence de dispositions légales qui définissent le contenu du document en question (ATF 132 IV 12 consid. 8.1 ; 129 IV 130 consid. 2.1). Ainsi, par exemple, un formulaire A, simple déclaration écrite non sujette à vérification, dont le contenu est inexact quant à la personne de l'ayant-droit économique, constitue un faux dans les titres au sens de l'art. 251 CP (arrêts du Tribunal fédéral 6B_383/2019 du 8 novembre 2019 consid. 8.3.3.2 ; 6B_261/2020 du 10 juin 2020 consid. 4.2 ; 6B_891/2018 du 31 octobre 2018 consid. 3.3.1). Il en va de même de la formule officielle prévue par les art. 269d du Code des obligations (CO) et 19 de l'ordonnance sur le bail à loyer et le bail à ferme d'habitations et de locaux commerciaux (OBLF), dont l'usage est rendu obligatoire par certains cantons pour la conclusion de tout nouveau bail (cf. art. 270 al. 2 CO). Au regard des caractéristiques de la formule officielle, dont le caractère obligatoire et le contenu sont en l'occurrence strictement définis par la législation, il apparaît indéniable que ce document se voit conférer une valeur probante accrue, le locataire destinataire devant ainsi pouvoir raisonnablement s'y fier au moment d'envisager une contestation du loyer initial, sans avoir à cet égard à vérifier l'exactitude des informations données par le bailleur quant au montant du loyer précédemment payé par l'ancien locataire (ATF 148 IV 288 consid. 4.4.3).</w:t>
      </w:r>
    </w:p>
    <w:p>
      <w:r>
        <w:rPr>
          <w:b/>
        </w:rPr>
        <w:t>E. 2.2.3</w:t>
      </w:r>
    </w:p>
    <w:p>
      <w:r>
        <w:t>Sur le plan subjectif, le faux dans les titres est une infraction intentionnelle. L'intention doit porter sur tous les éléments constitutifs. Le dol éventuel suffit (ATF 141 IV 369 consid. 7.4). L'art. 251 CP exige de surcroît un dessein spécial, qui peut se présenter sous deux formes alternatives, soit le dessein de porter atteinte aux intérêts pécuniaires ou aux droits d'autrui ou le dessein de procurer à un tiers un avantage illicite (ATF 138 IV 130 consid. 3.2.4 ; arrêt du Tribunal fédéral 6B_736/2016 du 9 juin 2017 consid. 2.1). L'avantage est une notion très large : il suffit que l'auteur veuille améliorer sa situation (ATF 133 IV 303 consid. 4.4).</w:t>
      </w:r>
    </w:p>
    <w:p>
      <w:r>
        <w:rPr>
          <w:b/>
        </w:rPr>
        <w:t>E. 2.2.4</w:t>
      </w:r>
    </w:p>
    <w:p>
      <w:r>
        <w:t>Lorsque le faux dans les titres est un moyen de commettre ou de dissimuler une autre infraction et que la définition de celle-ci n'englobe pas déjà le faux, l'art. 251 CP doit être appliqué en concours (B. CORBOZ, Les infractions en droit suisse, Vol. II, n. 188-189 ad art. 251). Ainsi, il y a concours entre les art. 146 et 251 CP lorsque l'auteur utilise des titres falsifiés pour commettre une escroquerie (ATF 129 IV 53 in JdT 2006 IV 7 consid. 3). 2.3.1. Dans le contexte de la pandémie de coronavirus (COVID 19), les autorités fédérales ont pris de nombreuses mesures fondées sur le droit d'urgence (art. 185 al. 3 Cst) et notamment des mesures visant à atténuer les conséquences économiques de la pandémie. Le 25 mars 2020, le Conseil fédéral a publié un communiqué de presse relatif à l'OCaS-COVID-19, adoptée le même jour et entrée en vigueur le lendemain. Il y est notamment expliqué ceci : Aide immédiate sous la forme de crédits transitoires spécifiques : la Confédération va mettre sur pied un programme de garantie (...) visant à ce que les PME affectées (entreprises individuelles, sociétés de personnes et personnes morales) obtiennent des crédits bancaires transitoires (...). L'objectif est que les entreprises concernées puissent accéder rapidement et simplement à des crédits représentant jusqu'à 10% de leur chiffre d'affaires ou d'un montant de 20 millions de francs au plus. Les montants jusqu'à 0,5 million de francs seront versés immédiatement par les banques et seront couverts en totalité par la garantie de la Confédération. Cette garantie sera ramenée à 85% pour les montants dépassant ce plafond, qui devront alors faire l'objet d'un bref examen par les banques. Ainsi, la Confédération garantit aux banques prêteuses, par l'intermédiaire des organisations de cautionnement (dont la partie plaignante), la totalité du montant des crédits accordés aux PME selon le mécanisme mis en place par l'ordonnance, qui impose notamment aux banques d'utiliser exclusivement, pour l'octroi du crédit, un formulaire type mis en ligne par le secrétariat d'Etat à l'économie (SECO), sans modification aucune. La banque doit refuser d'accorder le crédit si la demande du preneur de crédit n'a pas été entièrement remplie (cf. annexe 1 OCaS-COVID-19, art. 3.1 et 2.3). Selon le commentaire de l'Administration fédérale des finances (AFF), publié avec l'OCaS-COVID-19, pour les crédits COVID-19 allant jusqu'à 500 000 francs, la Confédération prend en charge le risque de perte total, plus un intérêt annuel. Grâce à cette couverture, la banque peut appliquer une procédure de contrôle sommaire : -        La personne exerçant une activité indépendante ou l'entreprise remplit la convention de crédit COVID-19 standardisée fournie par voie électronique, déclarant ainsi qu'elle remplit les conditions d'octroi. Elles soumettent la convention de crédit à leur banque ou, le cas échéant, à POSTFINANCE SA. -        Le crédit de transition ne peut dépasser 10% du chiffre d'affaires d'une année. La banque (ou POSTFINANCE) vérifie si le requérant est client et s'il remplit les conditions pour bénéficier d'un crédit COVID-19 sur les bases de sa déclaration. Aucun autre contrôle n'est effectué. Si les conditions sont remplies, la banque envoie la convention de crédit aux organisations de cautionnement. Dès que la convention est envoyée à l'organisation de cautionnement, le cautionnement est considéré comme approuvé et la banque peut mettre les fonds à disposition immédiatement. En principe, la libération des fonds du crédit entraîne également l'entrée en vigueur du cautionnement. Cette procédure simplifiée est destinée à fournir une aide d'urgence rapidement et sans formalités. Elle est appliquée pour les travailleurs indépendants et les PME dont le chiffre d'affaires annuel ne dépasse pas 5 millions de francs. 2.3.2. À teneur de l'art. 3 al. 1 de l'OCaS-COVID-19, une organisation de cautionnement accorde sans formalités un cautionnement solidaire unique pour des crédits bancaires jusqu'à concurrence de CHF 500'000.-, si des entreprises individuelles, sociétés de personnes ou personnes morales ayant leur siège en Suisse (requérant) déclarent qu'elles ont été fondées avant le 1 er mars 2020 (let. a), qu'elles ne se trouvent ni en faillite, ni en procédure concordataire, ni en liquidation au moment du dépôt de la demande (let. b), qu'elles sont substantiellement affectées sur le plan économique en raison de la pandémie de COVID-19, notamment en ce qui concerne leur chiffre d'affaires (let. d). En vertu de l'art. 6 OCaS-COVID-19, le cautionnement solidaire a pour seul but de garantir les crédits bancaires destinés à satisfaire les besoins courants en liquidités du requérant (al. 1). L'art. 11 al. 1 à 3 OCaS-COVID-19 prévoit que la transmission à la banque de la convention de crédit signée par le requérant est réputée comme demande. Le requérant confirme par écrit ou par tout autre moyen permettant d'en établir la forme par un texte que les données figurant dans le formulaire de demande sont complètes et véridiques. Les organisations de cautionnement vérifient l'exhaustivité et l'exactitude formelle des demandes de cautionnement solidaire. Ladite ordonnance prévoit également une disposition pénale en son art. 23, lequel dispose que quiconque, intentionnellement, obtient un crédit en vertu de la présente ordonnance en fournissant de fausses indications ou utilise les fonds en dérogation à l'art. 6 al. 3 OCaS-COVID-19 est puni d'une amende de CHF 100'000.- au plus, à moins qu'il n'ait commis une infraction plus grave au sens du code pénal. Dans son commentaire du 14 avril 2020, le Département fédéral des finances indique ce qui suit s'agissant de cette disposition : « Il n'est pas sûr qu'on puisse faire valoir facilement les traditionnels éléments constitutifs de l'escroquerie et de faux dans les titres. En ce qui concerne l'escroquerie au sens de l'art. 146 du code pénal (CP), il s'agirait notamment de se demander si une simple fausse déclaration du requérant compte tenu de l'absence de contrôle peut être qualifiée de dol. On peut partir du principe qu'il n'y a généralement pas de faux dans les titres au sens de l'art. 251 CP, car les informations fournies par le requérant n'ont pas valeur de titre. Si les autorités de poursuite pénale et les tribunaux devaient néanmoins retenir l'existence d'une infraction pénale plus grave en ce qui concerne l'ordonnance sur les cautionnements solidaires, les éléments constitutifs d'une infraction au CP primeraient la disposition pénale de l'art. 23. L'infraction nouvellement établie dans l'ordonnance s'apparente en particulier à la soustraction d'impôt en ce qui concerne la manière dont elle est commise et les biens juridiques protégés (voir art. 175 de la loi fédérale du 14 décembre 1990 sur l'impôt fédéral direct). Dans les deux cas, le contrevenant veut obtenir un avantage pécuniaire par son comportement aux dépens de la collectivité […]. Dans les deux cas, il n'y a pas non plus d'infraction qualifiée (en particulier, pas de faux dans les titres) à laquelle s'appliquent des éléments constitutifs plus stricts. Par analogie avec le droit fiscal, il est donc justifié que l'obtention frauduleuse d'un crédit en fournissant intentionnellement de fausses indications constitue également une infraction passible d'amende ». Il faut relever que ces considérations ne sont pas reprises dans le Message du Conseil fédéral du 18 septembre 2020 relatif à la loi fédérale sur les crédits garantis par un cautionnement solidaire à la suite du coronavirus du 18 décembre 2020 (LCaS-COVID-19), dans laquelle est transposée l'OCaS-COVID-19. Concernant l'art. 25 LCaS-COVID-19, qui reprend fondamentalement l'art. 23 OCaS-COVID-19 (cf. FF 2020 pp. 8165 ss, p. 8215), le Conseil fédéral indique que si les autorités de poursuite pénale et les tribunaux cantonaux devaient retenir l'existence de faits plus graves en lien avec l'ordonnance sur les cautionnements solidaires liés au COVID‑19, les infractions définies dans le CP, par exemple l'escroquerie, l'infraction de faux dans les titres ou le blanchiment d'argent, primeraient l'art. 25 LCaS-COVID-19 (cf. FF 2020 p. 8215). 2.3.3. La doctrine qui s'est penchée sur la question (notamment B. MÄRKLI et L. GUT, Missbrauch von Krediten nach COVID-19-Solidarbürgschaftsverordnung, in Pratique Juridique Actuelle 6/2020 p. 722ss) relève que dans le cas d'une demande de crédit COVID-19, l'astuce peut résulter de simples mensonges sur la nécessité du crédit. En effet, l'urgence rend impossible la vérification du mensonge, ce que le preneur de crédit sait pertinemment en raison des circonstances. Par ailleurs, le fait que les prêts sont généralement obtenus auprès de la banque principale permet également de considérer qu'une relation de confiance existe dans ces cas avec la banque. En définitive, la coresponsabilité de la banque est éliminée par le mécanisme mis en place par le législateur et la responsabilité pénale de l'art. 146 CP doit être évaluée au cas par cas. De même, ces auteurs retiennent que le formulaire de prêt COVID peut être considéré comme un titre, puisque celui-ci fonde l'existence de la dette de l'emprunteur vis-à-vis de la banque, de sorte que les informations communiquées dans ledit formulaire entraînent une conséquence juridique considérable. Si l'emprunteur demande un prêt COVID en fournissant de fausses informations, il pourrait être poursuivi pour faux dans les titres au sens de l'art. 251 CP, tout en laissant la question ouverte au vu de la jurisprudence restrictive en matière de faux intellectuel. Selon d'autres auteurs (M. JEAN-RICHARD-DIT-BRESSEL / A. JUG-HÖHENER, Die Profiteure der Krise, in : Jusletter 3. August 2020, n° 32 et 33, pp. 11-12), le requérant déclare les faits essentiels pour l'octroi du crédit lorsqu'il remplit et signe le formulaire de demande précité. Ce document signé sert d'unique preuve des conditions de versement d'un crédit. Les renseignements qu'il fournit entraînent donc une conséquence juridique importante, à savoir la conclusion d'une convention de crédit, le versement du montant du crédit en fonction des informations fournies sur le formulaire et, partant, l'existence et l'obligation de remboursement de la dette du preneur de crédit envers la banque. Ainsi, l'importance de cette déclaration écrite et son traitement dans le texte de l'ordonnance permettent de conclure que les garanties objectives de vérité exigées par la jurisprudence pour retenir qu'il s'agit d'un titre au sens de l'art. 251 CP sont données et que cette disposition s'applique aux crédits COVID-19 obtenus de manière abusive. 2.3.4. Le Tribunal fédéral ne s'est pas encore prononcé sur la question, ayant uniquement confirmé une condamnation pour blanchiment d'argent (art. 305 bis ch. 1 CP) ayant pour objet le produit d'une escroquerie et un faux dans les titres en lien avec un crédit COVID-19 frauduleux (arrêt du Tribunal fédéral 6B_295/2022 du 15 septembre 2022 consid. 1). Pour les autorités zurichoises, les fausses déclarations faites lors de la formulation d'une demande de crédit COVID-19 constituent une tromperie astucieuse au sens de l'art. 146 CP, car il est notoire que les crédits COVID-19 ont été octroyés sur la seule base de la propre déclaration du requérant, sans examen des conditions ou de l'intention dans laquelle ils devaient être utilisés. Il n'y a pas de coresponsabilité de la dupe qui exclurait l'astuce, car il s'agissait de rendre possible l'octroi à court terme et de manière standardisée des crédits dans une situation d'urgence. De même, la demande d'octroi d'un tel crédit COVID-19 bénéficie d'une crédibilité accrue, dans la mesure où la loi impose en règle générale de renoncer à une vérification plus approfondie des indications fournies, la banque ou ses collaborateurs étant en droit de se fier au contenu constaté dans le titre (cf. décision du Bezirksgericht de Dietikon du 27 avril 2020, publiée in forumpoenale 5/2022 n. 32 p. 326-336). La CPAR ayant déjà eu à se prononcer sur la question a suivi le même raisonnement, les formulaires de demande de prêts COVID-19 revêtaient une force probante accrue de par la loi, en l'occurrence l'OCaS-COVID-19, de telle sorte qu'une vérification par le destinataire n'était pas nécessaire et ne pouvait être exigée ( AARP/62/2023 du 28 février 2023 consid. 2.4.2 et AARP/135/2022 du 5 mai 2022 consid. 2.6).</w:t>
      </w:r>
    </w:p>
    <w:p>
      <w:r>
        <w:rPr>
          <w:b/>
        </w:rPr>
        <w:t>E. 2.4</w:t>
      </w:r>
    </w:p>
    <w:p>
      <w:r>
        <w:t>En l'espèce, il ressort des éléments matériels du dossier que le chiffre d'affaires de F______ pour l'année 2019 ne s'est jamais élevé à CHF 150'000.-. En effet, à suivre l'appelant, en additionnant les transactions apparaissant au crédit du compte de la société (CHF 56'265.-) aux factures produites prétendument payées en espèces (CHF 52'255.-), celui-ci s'est élevé tout au plus à CHF 108'520.-. L'appelant ne peut se retrancher derrière l'absence de comptabilité de son entreprise et l'excuse d'une potentielle perte d'autres factures pour crédibiliser ses allégations, d'autant moins qu'il allègue avoir arrêté le montant du chiffre d'affaires de ses différentes sociétés par un calcul précis. De plus, ses déclarations ont non seulement été fluctuantes et ont évolué en fonction des éléments de preuve présentés, mais elles ont aussi manqué de cohérence, ce qui affaiblit d'autant sa crédibilité. De manière générale, l'appelant a assuré que l'essentiel des rentrées d'argent arrivait sur le compte bancaire, avant de prétendre être en réalité surtout payé en liquidités, comme le voulait l'usage. Or, il ressort du témoignage d'un client d'une autre de ses sociétés, œuvrant dans le même domaine, qu'il ne s'agit pas d'un usage courant mais plutôt d'une volonté de l'appelant d'être rémunéré en espèces, pour ses besoins de liquidités. En outre, s'agissant des factures produites qui auraient été réglées en liquide, il appert qu'elles ont été adressées exclusivement à H______, de sorte qu'il est aussi curieux qu'incohérent que celui-ci ait procédé à ce mode de règlement entre ses sociétés, alors qu'il n'y avait pas lieu de craindre que ces factures demeurassent impayées et qu'il pouvait prendre le temps d'en assurer le suivi puisqu'il en était le gestionnaire. Enfin, le fait que, pour la société H______, le chiffre d'affaires comptabilisé par la fiduciaire soit nettement inférieur à celui obtenu par l'addition des crédits bancaires et des factures produites laisse songeur. Les explications données par l'appelant assurant n'avoir aucun intérêt à établir de fausses factures sont peu convaincantes dès lors qu'il est préférable de devoir s'acquitter d'une charge fiscale plus importante que de se voir condamner pénalement. Cela étant, il n'existe pas d'éléments suffisants permettant de remettre en question la véracité de ces documents. En ce qui concerne plus particulièrement la demande de prêt litigieuse, l'appelant a d'abord affirmé avoir établi le chiffre d'affaires sur la base de " ce qui avait été fait en 2019 " avant de remplir la convention, le 6 avril 2020, avant d'indiquer avoir constaté que son entreprise aurait dû être assujettie à la TVA pour l'exercice 2020 " lorsque les ennuis ont commencé et que les comptes ont été bloqués ", soit bien après la signature du document litigieux. Dans la mesure où F______ n'avait jamais été assujettie à la TVA auparavant, il appert que l'appelant a soit menti au moment de la signature de la demande de prêt, soit pris le risque de donner une estimation erronée tout en acceptant, le cas échéant, les conséquences pénales rappelées sur le formulaire. À cet égard, il ressort également de la procédure que l'appelant a sollicité pour une autre de ses entreprises un prêt initial de CHF 90'000.-, pour finalement recevoir quelques CHF 40'000.- selon ses dires, de sorte que le premier juge a, à juste titre, retenu qu'il s'agissait d'un indice confirmant que l'appelant pouvait procéder à des évaluations aléatoires, à la hausse, des chiffres d'affaires de ses sociétés. Enfin, l'argument de l'appelant selon lequel il n'avait pas le dessein d'obtenir un enrichissement illégitime puisque l'argent prêté avait servi à la bonne marche de ses trois entreprises ne lui est d'aucun secours. En effet, s'il appert qu'il a affecté presque la moitié des fonds reçus pour F______ à la constitution d'une garantie de loyer pour H______, il n'y a aucune traçabilité pour le solde des fonds retirés en espèces. En tout état, en estimant grossièrement à la limite supérieure le chiffre d'affaires de F______, version qui lui est la plus favorable, l'appelant a obtenu une aide indue lui permettant d'améliorer sa situation, soit un avantage illicite au sens de la disposition, étant précisé que même l'auteur qui veut obtenir une prétention légitime au moyen d'un titre faux est punissable (ATF 128 IV 265 ). Au vu de ce qui précède, le verdict de culpabilité sera confirmé et l'appel rejeté.</w:t>
      </w:r>
    </w:p>
    <w:p>
      <w:r>
        <w:rPr>
          <w:b/>
        </w:rPr>
        <w:t>E. 3</w:t>
      </w:r>
    </w:p>
    <w:p>
      <w:r>
        <w:t>Les infractions d'escroquerie, d'abus de confiance et de faux dans les titres sont toutes sanctionnées par une peine privative de liberté de cinq ans au plus ou une peine pécuniaire, tandis que l'infraction à la LAVS l'est par une peine pécuniaire.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3.3</w:t>
      </w:r>
    </w:p>
    <w:p>
      <w:r>
        <w:t>Selon l'art. 42 al. 1 CP, le juge suspend en règle générale l'exécution, notamment, d'une peine privative de liberté de deux ans au plus lorsqu'une peine ferme ne paraît pas nécessaire pour détourner l'auteur d'autres crimes ou délits. Si toutefois,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Autrement dit, en cas de récidive au sens de cet alinéa, seules deux hypothèses sont envisageables : soit les circonstances sont particulièrement favorables et le sursis total doit être accordé à l'auteur ; soit les circonstances sont mitigées ou défavorables et le sursis, respectivement partiel ou total, est alors exclu (arrêts du Tribunal fédéral 6B_430/2016 du 27 mars 2017 consid. 3.1 ; 6B_492/2008 du 19 mai 2009 consid. 3.1.3 non publié in ATF 135 IV 152 ).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des circonstances particulièrement favorables, soit des circonstances qui empêchent que l'infraction antérieure ne détériore le pronostic (arrêts du Tribunal fédéral 6B_872/2016 du 15 juin 2017 consid. 2.1 ; 6B_100/2016 du 19 octobre 2016 consid. 2.1 ; Message concernant la modification du code pénal suisse [dispositions générales, entrée en vigueur et application du code pénal] et du code pénal militaire ainsi qu'une loi fédérale régissant la condition pénale des mineurs du 21 septembre 1998, FF 1999 p. 1855). Tel peut être le cas lorsque les faits les plus récents n'ont aucun rapport avec le jugement antérieur ou encore en cas de modification particulièrement positive dans la vie de l'auteur (ATF 134 IV 1 consid. 4.2.3 ; arrêts du Tribunal fédéral 6B_658/2017 du 30 janvier 2018 consid. 1.2 ; 6B_64/2017 du 24 novembre 2017 consid. 2.2 ; 6B_872/2016 du 15 juin 2017 consid. 2.1 ; 6B_352/2014 du 22 mai 2015 consid. 7.1. non publié in ATF 141 IV 273 ). La coopération et les regrets sincères, qui constituent des facteurs d'appréciation de sa culpabilité (cf. art. 47 et 48 let. d CP), ne suffisent pas à faire apparaître les circonstances comme particulièrement favorables (arrêt du Tribunal fédéral 6B_100/2016 du 19 octobre 2016 consid. 2.4.1 et les références). Cela étant, il n'est pas contestable que l'existence d'antécédents pénaux est un point non seulement pertinent mais incontournable du pronostic. Il n'est pas discutable non plus que, eu égard à leur gravité, les antécédents visés par l'art. 42 al. 2 CP pèsent lourdement dans l'appréciation d'ensemble et qu'un pronostic défavorable ne peut alors être exclu qu'en présence d'autres circonstances susceptibles de contrebalancer positivement cet élément négatif (arrêts du Tribunal fédéral 6B_42/2018 du 17 mai 2018 consid. 1.2 ; 6B_869/2016 du 1 er juin 2017 consid. 4.2 ; 6B_510/2010 du 4 octobre 2010 consid. 1.2.2).</w:t>
      </w:r>
    </w:p>
    <w:p>
      <w:r>
        <w:rPr>
          <w:b/>
        </w:rPr>
        <w:t>E. 3.4</w:t>
      </w:r>
    </w:p>
    <w:p>
      <w:r>
        <w:t>En l'espèce, la faute de l'appelant est tout sauf négligeable. Il a profité de la pandémie du COVID-19 et de la situation d'urgence qui en a découlé pour obtenir trois prêts, dont l'un fondé sur un chiffre d'affaires ne correspondant pas à la réalité, tablant sur l'absence de vérifications, afin de payer des dépenses privées, rembourser des dettes, octroyer des prêts à ses autres sociétés, buts totalement étrangers à cette institution extraordinaire qui visait la préservation du tissu économique suisse. Son mobile est donc purement égoïste. Sa situation personnelle au moment des faits n'explique en rien ses agissements. Sa collaboration a été mauvaise en ce qu'il n'a daigné produire des documents qu'à l'aube des débats de première instance et s'est essentiellement retranché derrière l'absence de comptabilité pour servir des explications invérifiables. De plus, interrogé peu de temps après l'octroi des prêts, il s'est révélé incapable d'en justifier l'utilisation. Sa prise de conscience n'est qu'amorcée, étant précisé qu'il n'a plus fait parvenir de nouvelle preuve de paiement échelonné en remboursement de sa dette depuis les débats de première instance. Il y a concours d'infractions, facteur aggravant de la peine. En outre, l'appelant a des antécédents en partie spécifiques. L'appelant ne critique pas, à juste titre, le genre de peine choisi pour réprimer les infractions d'escroquerie, d'abus de confiance, et de faux dans les titres. Il en conteste en revanche la quotité. L'infraction abstraitement la plus grave, soit l'escroquerie, commanderait à elle seule une peine privative de liberté de base de six mois, laquelle devrait être augmentée d'un mois (peine théorique de deux mois) pour tenir compte du faux dans les titres, et de six mois supplémentaires pour réprimer les deux abus de confiance (peine théorique de 2x six mois), portant la peine d'ensemble à 13 mois. Ainsi, en vertu de l'interdiction de la reformatio in pejus, la peine privative de liberté de six mois prononcée par le premier juge sera confirmée. En ce qui concerne l'octroi du sursis, l'appelant ne démontre pas qu'il serait au bénéfice de circonstances particulièrement favorables. En effet, il ressort de ses six précédentes condamnations qu'elles ont quasi toutes trait au patrimoine et au monde des affaires. Sa peine privative de liberté de 12 mois avec sursis partiel prononcée en 2018 l'a été pour abus de confiance, antécédent spécifique. C'est en vain que l'appelant allègue ne plus représenter de menace : en effet, s'il est établi que la majorité de ses sociétés a été radiée ou est en voie de l'être, il appert qu'il est encore à la tête de N______ Sàrl, société toujours active selon le registre du commerce vaudois. En outre, il n'a jamais apporté la preuve selon laquelle il était désormais salarié de son fils, en dépit du délai sollicité pour ce faire. Pour tous ces motifs, c'est à bon droit que le premier juge n'a pas assorti sa peine du sursis. Enfin, la non-révocation du sursis antérieur lui est acquise et la prolongation de son délai d'épreuve de deux ans supplémentaires sera confirmée en ce qu'elle apparaît adéquate. Partant, le jugement est intégralement confirmé et l'appel rejeté.</w:t>
      </w:r>
    </w:p>
    <w:p>
      <w:r>
        <w:rPr>
          <w:b/>
        </w:rPr>
        <w:t>E. 4</w:t>
      </w:r>
    </w:p>
    <w:p>
      <w:r>
        <w:t>L'appelant, qui succombe, supportera les frais de la procédure envers l'État, lesquels comprendront un émolument d'arrêt de CHF 1'500.- (art. 428 CPP). Il n'y a pas lieu de revoir la répartition de ceux de première instance.</w:t>
      </w:r>
    </w:p>
    <w:p>
      <w:r>
        <w:rPr>
          <w:b/>
        </w:rPr>
        <w:t>E. 5</w:t>
      </w:r>
    </w:p>
    <w:p>
      <w:r>
        <w:t>5.1.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w:t>
      </w:r>
    </w:p>
    <w:p>
      <w:r>
        <w:rPr>
          <w:b/>
        </w:rPr>
        <w:t>E. 5.2</w:t>
      </w:r>
    </w:p>
    <w:p>
      <w:r>
        <w:t>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Ainsi, les communications et courriers divers sont en principe inclus dans le forfait ( AARP/182/2016 du 3 mai 2016 consid. 3.2.2 ; AARP/501/2013 du 28 octobre 2013) de même que d'autres documents ne nécessitant pas ou peu de motivation ou autre investissement particulier en termes de travail juridique, telle l'annonce d'appel ( AARP/184/2016 du 28 avril 2016 consid. 5.2.3.2 et 5.3.1 ; AARP/149/2016 du 20 avril 2016 consid. 5.3 et 5.4 ; AARP/146/2013 du 4 avril 2013), la déclaration d'appel (ordonnance de la Cour des plaintes du Tribunal pénal fédéral BB.2014.51 du 21 novembre 2014 consid. 2.1 ; décisions de la Cour des plaintes du Tribunal pénal fédéral BB.2013.165 du 24 janvier 2014 consid. 4.1.3 et BB.2013.127 du 4 décembre 2013 consid. 4.2). Les écritures plus amplement motivées sont pour leur part indemnisées séparément, dans les limites du principe de nécessité ; aussi, le temps consacré à la rédaction d'écritures inutiles ou reprenant une argumentation déjà développée, fût-ce devant une autorité précédente, ne saurait donner lieu à indemnisation ou à indemnisation supplémentaire ( AARP/204/2016 du 9 mai 2016 consid. 7.3 et AARP/109/2016 du 17 mars 2016 consid. 8.2.4 et 8.3.1).</w:t>
      </w:r>
    </w:p>
    <w:p>
      <w:r>
        <w:rPr>
          <w:b/>
        </w:rPr>
        <w:t>E. 5.3</w:t>
      </w:r>
    </w:p>
    <w:p>
      <w:r>
        <w:t>En application de ces principes, il convient de retrancher de l'état de frais de M e B______ 0h40 pour tenir compte du fait que l'activité consacrée à la rédaction de la déclaration d'appel est comprise dans le forfait. Il en ira de même des postes " téléphones divers et emails ", " courrier au juge " et " état de frais ". En conclusion, la rémunération sera arrêtée à CHF 1'077.-, correspondant à 4h10 d'activité au tarif de CHF 200.-/heure (CHF 833.35), plus la majoration forfaitaire de 20% (CHF 166.65) et l'équivalent de la TVA au taux de 7.7% en CHF 77.-.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