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P/13927/2013 vom 2. April 2014</w:t>
      </w:r>
    </w:p>
    <w:p>
      <w:r>
        <w:t>GE Cour de justice, 2014-04-02, FR</w:t>
      </w:r>
    </w:p>
    <w:p>
      <w:r>
        <w:rPr>
          <w:b/>
        </w:rPr>
        <w:t xml:space="preserve">Quelle: </w:t>
      </w:r>
      <w:r>
        <w:t>https://mcp.opencaselaw.ch/entscheid/ge_gerichte_P_13927_2013</w:t>
      </w:r>
    </w:p>
    <w:p>
      <w:r>
        <w:t>FR: GE_GERICHTE P/13927/2013 du 2 avril 2014</w:t>
      </w:r>
    </w:p>
    <w:p>
      <w:r>
        <w:t>IT: GE_GERICHTE P/13927/2013 del 2 aprile 2014</w:t>
      </w:r>
    </w:p>
    <w:p>
      <w:pPr>
        <w:pStyle w:val="Heading2"/>
      </w:pPr>
      <w:r>
        <w:t>Regeste</w:t>
      </w:r>
    </w:p>
    <w:p>
      <w:r>
        <w:t>CONDITION DE RECEVABILITÉ; QUALITÉ POUR RECOURIR; DÉNONCIATEUR; INTÉRÊT JURIDIQUEMENT PROTÉGÉ; LÉSÉ; DOMMAGE DIRECT | CPP.382; CPP.104; CPP.105; CP.133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recourant, dont le recours est déclaré irrecevable, est considéré avoir succombé. Il supportera les frais de la procédure envers l'État (art. 428 al. 1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