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P/13921/2022 vom 9. Mai 2025</w:t>
      </w:r>
    </w:p>
    <w:p>
      <w:r>
        <w:t>GE Cour de justice, 2025-05-09, FR</w:t>
      </w:r>
    </w:p>
    <w:p>
      <w:r>
        <w:rPr>
          <w:b/>
        </w:rPr>
        <w:t xml:space="preserve">Quelle: </w:t>
      </w:r>
      <w:r>
        <w:t>https://mcp.opencaselaw.ch/entscheid/ge_gerichte_P_13921_2022</w:t>
      </w:r>
    </w:p>
    <w:p>
      <w:r>
        <w:t>FR: GE_GERICHTE P/13921/2022 du 9 mai 2025</w:t>
      </w:r>
    </w:p>
    <w:p>
      <w:r>
        <w:t>IT: GE_GERICHTE P/13921/2022 del 9 maggio 2025</w:t>
      </w:r>
    </w:p>
    <w:p>
      <w:pPr>
        <w:pStyle w:val="Heading2"/>
      </w:pPr>
      <w:r>
        <w:t>Regeste</w:t>
      </w:r>
    </w:p>
    <w:p>
      <w:r>
        <w:t>DOMMAGES À LA PROPRIÉTÉ(DROIT PÉNAL) | CP.144</w:t>
      </w:r>
    </w:p>
    <w:p>
      <w:pPr>
        <w:pStyle w:val="Heading2"/>
      </w:pPr>
      <w:r>
        <w:t>Erwägungen</w:t>
      </w:r>
    </w:p>
    <w:p>
      <w:r>
        <w:rPr>
          <w:b/>
        </w:rPr>
        <w:t>E. 1</w:t>
      </w:r>
    </w:p>
    <w:p>
      <w:r>
        <w:t>Les appels sont recevables pour avoir été interjetés et motivés selon la forme et dans les délais prescrits (art. 398 et 399 CPP). Il sera pris acte du retrait de l'appel formé par les parties plaignantes (art. 386 al. 2 let. a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À teneur de l'art. 144 al. 1 CP, quiconque, sans droit, endommage, détruit ou met hors d'usage une chose appartenant à autrui ou frappée d'un droit d'usage ou d'usufruit au bénéfice d'autrui, est, sur plainte, puni d'une peine privative de liberté de trois ans au plus ou d'une peine pécuniaire.</w:t>
      </w:r>
    </w:p>
    <w:p>
      <w:r>
        <w:rPr>
          <w:b/>
        </w:rPr>
        <w:t>E. 2.2</w:t>
      </w:r>
    </w:p>
    <w:p>
      <w:r>
        <w:t>La notion "[d'] appartenance à autrui " se rapporte à la conception de la propriété au sens du droit privé. L'art. 144 CP protège toutefois également les droits d'usage que d'autres personnes pourraient avoir sur une chose. Dès lors, le droit de déposer plainte n'appartient pas seulement au propriétaire, mais également à tout ayant droit privé de l'usage de la chose. La notion de " droit d'usage " contenue à l'art. 144 CP, qu'il s'agisse d'un usufruit - expressément mentionné à l'art. 144 al. 1 CP - ou d'un autre droit (servitude, droit de passage, droit d'habitation, bail à loyer, bail à ferme, prêt à usage, leasing, autre droit d'usage contractuellement conféré), doit également s'examiner en fonction des règles du droit privé (arrêt du Tribunal fédéral 7B_74/2023 du 30 septembre 2024 consid. 2.2.3).</w:t>
      </w:r>
    </w:p>
    <w:p>
      <w:r>
        <w:rPr>
          <w:b/>
        </w:rPr>
        <w:t>E. 2.3</w:t>
      </w:r>
    </w:p>
    <w:p>
      <w:r>
        <w:t>L'objet de l'infraction est une chose, à savoir un objet corporel, mobilier ou immobilier (arrêt du Tribunal fédéral 6B_74/2023 du 30 septembre 2024 consid. 2.2.2). L'atteinte peut consister à détruire ou à altérer la chose, mais aussi à la modifier d'une manière propre à en supprimer ou en réduire l'usage, les propriétés, les fonctions ou l'agrément (arrêt du Tribunal fédéral 6B_978/2014 du 23 juin 2015 consid. 3.3.1 non publié aux ATF 141 IV 305 ).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(ATF 128 IV 250 consid. 2 p. 252 ; arrêts du Tribunal fédéral 6B_77/2017 du 16 janvier 2018 consid. 2.1 et les références ; 6B_348/2012 du 24 octobre 2012 consid. 2.2). La protection pénale est donnée même aux choses objectivement sans valeur économique ou esthétique. Seul l'intérêt légitime du lésé est toutefois protégé. Il faut ainsi réserver la faculté de déclarer la plainte abusive si elle est déposée par pure chicane, la modification étant insignifiante ou ne présentant manifestement que des avantages ( ACPR/509/2016 du 16 août 2016 ; B. CORBOZ, Les Infractions en droit suisse , Berne 2010, vol. I., n. 20-21 ad art. 144 et les références citées).</w:t>
      </w:r>
    </w:p>
    <w:p>
      <w:r>
        <w:rPr>
          <w:b/>
        </w:rPr>
        <w:t>E. 2.4</w:t>
      </w:r>
    </w:p>
    <w:p>
      <w:r>
        <w:t>L'art. 9 CPP consacre la maxime d'accusation, laquelle découle également des art. 29 al. 2 de la constitution fédérale (Cst.;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La description des faits reprochés dans l'acte d'accusation doit être la plus brève possible (art. 325 al. 1 let. f CPP). 2.5.1. En l'espèce, la prévenue a fait appel à un serrurier pour ouvrir un coffre-fort dont elle était propriétaire en main commune (art. 560 du code civil [CC]) avec les parties plaignantes, hors la présence de celles-ci, l'endommageant de la sorte. Ces faits sont précisément décrits dans l'acte d'accusation et elle a parfaitement compris ce qui lui était reproché : c'est en vain qu'elle se prévaut d'une violation de la maxime d'accusation. Reste à déterminer si ces faits sont constitutifs de dommages à la propriété. 2.5.2. Les parties s'accordent sur le fait que le coffre-fort, en tant qu'objet, n'avait qu'une valeur résiduelle, ce d'autant qu'il était difficile à ouvrir et nécessitait l'intervention d'un spécialiste. Il ressort toutefois clairement de leurs déclarations que la principale fonction de ce meuble était sa capacité à conserver son contenu et à le protéger de tout accès indu. La valeur de ce coffre-fort résidait ainsi dans sa fonction de conservation des biens appartenant à la succession, en l'état et sans que l'un ou l'autre des héritiers ne puisse y accéder sans l'acquiescement des autres. Indépendamment de la valeur de son contenu, ce coffre-fort avait ainsi une valeur d'usage fondamentale pour les héritiers, consistant dans la protection de l'accès à ces objets. En faisant procéder, seule et hors la présence de ses cohéritiers, à l'ouverture du coffre-fort, la prévenue a ainsi porté atteinte à la valeur essentielle du coffre-fort. Peu importe qu'elle ait, ce faisant, endommagé (ou non) le meuble lui-même, puisqu'en agissant de la sorte, elle a porté atteinte au principal usage du coffre-fort, usage pour lequel un tel objet est d'ailleurs conçu, soit la conservation des biens qu'il contient. Le verdict de culpabilité de dommages à la propriété doit ainsi être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l'appelante expose avoir agi pour accéder à des bijoux personnels dont elle affirme qu'ils se trouvaient dans le coffre-fort endommagé, qu'elle a ensuite déplacés sans jamais permettre à ses cohéritiers de connaître le contenu de celui-ci. Elle a manifestement agi dans le but de se soustraire à toute éventuelle contestation dans le cadre de la liquidation de la succession ; indépendamment du bien-fondé de son droit sur ces bijoux – question dont la CPAR n'est pas saisie – elle a agi pour se procurer un avantage, consistant à tout le moins à s'économiser toute contestation des autres membres de l'hoirie et récupérer des objets qu'elle affirmait lui appartenir sans permettre à ses cohéritiers de contester cette revendication. Elle a sans doute aussi agi par mesquinerie, pour frustrer ses cohéritiers dans leur souhait d'accéder au contenu de ce coffre-fort. Quoi qu'il en soit, son mobile est égoïste. La situation personnelle de l'appelante n'explique ni ne justifie ses actes. Les difficultés rencontrées dans le cadre de la liquidation de la succession de son époux ne sauraient justifier qu'elle s'affranchisse de la sorte des règles légales, justement conçues pour résoudre de telles situations. L'appelante ne discute ni de la quotité de la sanction, ni du montant du jour-amende. Compte tenu du caractère relativement bénin de la faute commise, de la motivation égoïste, du caractère isolé de son comportement, mais aussi de sa collaboration médiocre, l'appelante n'ayant par exemple jamais fourni le moindre élément sur l'identité du serrurier à qui elle a fait appel, la peine de 30 jours-amende prononcée par le premier juge apparaît en tous points adéquate. Compte tenu de la situation financière peu favorable de l'appelante, le montant du jour-amende, qui correspond au minimum légal, sera également confirmé. Le bénéfice du sursis lui est acquis. L'appel doit ainsi être intégralement rejeté.</w:t>
      </w:r>
    </w:p>
    <w:p>
      <w:r>
        <w:rPr>
          <w:b/>
        </w:rPr>
        <w:t>E. 4</w:t>
      </w:r>
    </w:p>
    <w:p>
      <w:r>
        <w:t>L'appelante, qui succombe, supportera 80% des frais de la procédure d'appel envers l'État (art. 428 CPP). Le solde sera mis à la charge des parties plaignantes, dont l'appel a été retiré aux débats (art. 428 al. 1 dernière phrase CPP).</w:t>
      </w:r>
    </w:p>
    <w:p>
      <w:r>
        <w:rPr>
          <w:b/>
        </w:rPr>
        <w:t>E. 4.1</w:t>
      </w:r>
    </w:p>
    <w:p>
      <w:r>
        <w:t>Selon l'art. 426 al. 1 CPP, le prévenu supporte les frais de procédure s'il est condamné. L'alinéa 2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w:t>
      </w:r>
    </w:p>
    <w:p>
      <w:r>
        <w:rPr>
          <w:b/>
        </w:rPr>
        <w:t>E. 4.2</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4.3</w:t>
      </w:r>
    </w:p>
    <w:p>
      <w:r>
        <w:t>L'appelante conteste la mise à sa charge complète des frais de la procédure préliminaire et de première instance, au motif qu'elle a bénéficié d'un acquittement pour une partie des faits reprochés. Il ressort toutefois clairement de la procédure, et même de l'ordonnance pénale valant acte d'accusation, que les faits dont elle a été acquittée sont étroitement liés à ceux pour lesquels elle est condamnée, et n'ont en particulier pas donné lieu à des actes d'instruction séparés. De plus, l'appelante, en ouvrant le coffre-fort sans l'aval de ses cohéritiers, a occasionné l'ouverture de la procédure pénale et le soupçon de tentative de vol du contenu de celui-ci (art. 426 al. 2 CPP). Sa condamnation à l'intégralité des frais de la procédure préliminaire et de première instance sera donc confirmée.</w:t>
      </w:r>
    </w:p>
    <w:p>
      <w:r>
        <w:rPr>
          <w:b/>
        </w:rPr>
        <w:t>E. 5.1</w:t>
      </w:r>
    </w:p>
    <w:p>
      <w:r>
        <w:t>L'indemnisation du prévenu est régie par les art. 429 à 432 CPP, dispositions aussi applicables à la procédure de recours par renvoi de l'art. 436 al. 1 CPP. Aux termes de l'art. 429 al. 1 CPP,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w:t>
      </w:r>
    </w:p>
    <w:p>
      <w:r>
        <w:rPr>
          <w:b/>
        </w:rPr>
        <w:t>E. 5.2</w:t>
      </w:r>
    </w:p>
    <w:p>
      <w:r>
        <w:t>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rPr>
          <w:b/>
        </w:rPr>
        <w:t>E. 5.3</w:t>
      </w:r>
    </w:p>
    <w:p>
      <w:r>
        <w:t>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Lorsque la partie plaignante ou le plaignant supporte les frais en application de l'art. 427 al. 2 CPP, une éventuelle indemnité allouée au prévenu peut en principe être mise à sa charge en vertu de l'art. 432 al. 2 CPP (arrêt du Tribunal fédéral 6B_108/2018 du 12 juin 2018 consid. 4.1). Par le renvoi de l'art. 436 al. 1 CPP, cette disposition s'applique également à la deuxième instance (arrêts du Tribunal fédéral 6B_1180/2017 du 25 avril 2018 consid. 5.2 ; 6B_438/2013 du 18 juillet 2013 consid. 3.1). Par ailleurs, selon la jurisprudence, les frais de défense du prévenu devant l'instance d'appel doivent être assumés par la partie plaignante dans le cas où seule celle-ci fait appel contre un acquittement prononcé à l'issue d'une procédure complète devant des tribunaux au sens de l'art. 13 CPP (ATF 139 IV 45 consid. 1 p. 47 s. ; arrêt du Tribunal fédéral 6B_108/2018 du 12 juin 2018 consid. 4.1).</w:t>
      </w:r>
    </w:p>
    <w:p>
      <w:r>
        <w:rPr>
          <w:b/>
        </w:rPr>
        <w:t>E. 5.4</w:t>
      </w:r>
    </w:p>
    <w:p>
      <w:r>
        <w:t>En l'espèce, l'appelante est condamnée à supporter l'intégralité des frais de la procédure préliminaire et de première instance ; elle sera par conséquent déboutée de ses conclusions en indemnisation pour cette étape de la procédure. L'appelante succombe intégralement dans son appel. Elle obtient toutefois gain de cause en lien avec l'appel formé et retiré par les parties plaignantes (art. 428 al. 1 2 ème phrase). Conformément à la répartition des frais de procédure, les parties plaignantes seront dès lors condamnées à lui rembourser 20% des dépenses nécessaires occasionnées par la procédure d'appel, à l'exclusion toutefois de la durée des débats d'appel, l'appel des parties plaignantes ayant été retiré à l'ouverture de ceux-ci. L'appelante a fait valoir des conclusions en indemnisation pour la procédure d'appel à hauteur de cinq heures et 45 minutes d'activité de son conseil, chef d'étude, hors débats d'appel. Une indemnité correspondant à 20% de cette activité, soit une heure et neuf minutes d'activité à CHF 450.- de l'heure, lui sera allouée, soit CHF 559.40 TTC. Conformément à l'art. 432 CP, cette indemnité sera mise à la charge des parties plaignantes.</w:t>
      </w:r>
    </w:p>
    <w:p>
      <w:r>
        <w:rPr>
          <w:b/>
        </w:rPr>
        <w:t>E. 6</w:t>
      </w:r>
    </w:p>
    <w:p>
      <w:r>
        <w:t>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6.2</w:t>
      </w:r>
    </w:p>
    <w:p>
      <w:r>
        <w:t>La partie plaignante obtient gain de cause au sens de l'art. 433 al. 1 CPP lorsque le prévenu est condamné et/ou si ses prétentions civiles sont admises.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139 IV 102 consid. 4.1 et consid. 4.5 ; arrêt du Tribunal fédéral 6B_938/2023 consid. 4.1 non publié aux ATF 150 IV 273 ).</w:t>
      </w:r>
    </w:p>
    <w:p>
      <w:r>
        <w:rPr>
          <w:b/>
        </w:rPr>
        <w:t>E. 6.3</w:t>
      </w:r>
    </w:p>
    <w:p>
      <w:r>
        <w:t>En l'espèce, les parties plaignantes ont obtenu gain de cause en première instance ; l'appelante ne critique pas le montant de l'indemnité allouée par le premier juge à ce titre, au-delà de l'acquittement plaidé. Cette indemnité sera dès lors confirmée. Pour la procédure d'appel, les parties plaignantes sollicitent une indemnité correspondant à une heure et demie d'activité de leur conseil, hors débats d'appel (lesquels ont duré une heure et demie). Les parties plaignantes ayant obtenu gain de cause, l'appelante sera condamnée à les indemniser, dans la même proportion que pour les frais. La durée de l'audience d'appel sera toutefois prise intégralement en compte pour l'indemnisation, celle-ci n'ayant porté que sur les conclusions de l'appelante. C'est ainsi une indemnité de CHF 1'313.40 ([80% de 1h30 + 1h30] x CHF 450.- plus TVA à 8.1%) qui sera allouée aux parties plaignantes et mise à la charge de l'appelante.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