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P/13838/2015 vom 24. April 2017</w:t>
      </w:r>
    </w:p>
    <w:p>
      <w:r>
        <w:t>GE Cour de justice, 2017-04-24, FR</w:t>
      </w:r>
    </w:p>
    <w:p>
      <w:r>
        <w:rPr>
          <w:b/>
        </w:rPr>
        <w:t xml:space="preserve">Quelle: </w:t>
      </w:r>
      <w:r>
        <w:t>https://mcp.opencaselaw.ch/entscheid/ge_gerichte_P_13838_2015</w:t>
      </w:r>
    </w:p>
    <w:p>
      <w:r>
        <w:t>FR: GE_GERICHTE P/13838/2015 du 24 avril 2017</w:t>
      </w:r>
    </w:p>
    <w:p>
      <w:r>
        <w:t>IT: GE_GERICHTE P/13838/2015 del 24 aprile 2017</w:t>
      </w:r>
    </w:p>
    <w:p>
      <w:pPr>
        <w:pStyle w:val="Heading2"/>
      </w:pPr>
      <w:r>
        <w:t>Regeste</w:t>
      </w:r>
    </w:p>
    <w:p>
      <w:r>
        <w:t>IN DUBIO PRO REO ; PRINCIPE DE LA BONNE FOI ; DÉLIT DE CHAUFFARD | LCR.90; LCR.90; OCCR.9; ; ;</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et d'au moins 60 km/h, là où la limite était fixée à 80 km/h (art. 90 al. 4 let. b et c LCR). 2.2.2. L'art. 90 al. 3 et 4 LCR, entré en vigueur le 1 er janvier 2013, consacre une troisième catégorie d'infraction aux règles de la circulation routière sous la forme d'un crime (cf. art. 90 al. 1 LCR constituant une contravention et 90 al. 2 LCR un délit).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(cf. Message du 9 mai 2012 concernant l'initiative populaire "Protection contre les chauffards", FF 2012 5067 ch. 3.3 ;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ainsi conserver une marge de manœuvre, certes restreinte, afin d'exclure, dans des constellations particulières, la réalisation des conditions subjectives lors d'un dépassement de vitesse particulièrement important au sens de l'art. 90 al. 4 LCR (ATF 142 IV 137 consid. 11.2 p. 151 ; arrêt du Tribunal fédéral 6B_700/2015 du 14 septembre 2016). 2.2.3. Selon l'art. 106 ch.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sur le contrôle de la circulation routière du 28 mars 2007 (OCCR - RS 741.013). Conformément à l'art. 9 al. 2 OCCR,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Sur cette base,cet office a édicté, le 22 mai 2008, une ordonnance (OOCCR-OFROU - RS 741.013.1), ainsi qu'en accord avec le METAS, des instructions concernant les contrôles de vitesse par la police et la surveillance de la circulation aux feux rouges. Les art. 2 à 4 OOCCR-OFROU précisent notamment les compétences que doit revêtir le personnel chargé des contrôles et de l'évaluation (art. 2), les exigences posées aux méthodes et systèmes de mesure (art. 3) et disposent que toute infraction constatée par un système de mesure doit être saisie de manière à ce que les valeurs mesurées puissent être affectées sans le moindre doute à un véhicule ou à un conducteur spécifique (art. 4). D'autres prescriptions sur les appareils utilisés pour les contrôles de vitesses sont contenues dans l'ordonnance du DFJP du 28 novembre 2008 sur les instruments de mesure de vitesse (RS 941.261), qui prévoit notamment qu'ils doivent être vérifiés tous les ans (art. 6 al. 2 let. a). Selon la jurisprudence, les instructions techniques, comme celles concernant les contrôles de vitesse émises le 22 mai 2008 par l'OFROU, constituent de simples recommandations qui n'ont pas force de loi et ne lient pas le juge.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Les instructions techniques réservent du reste la libre appréciation des preuves par les tribunaux (arrêt du Tribunal fédéral 6B_1177/2013 du 12 mai 2014 consid. 3.2). 2.3.1. L'appelant n'a jamais contesté avoir circulé au guidon de son motocycle à une vitesse excessive lors du contrôle effectué, ayant au contraire admis les faits, en expliquant avoir commis une grosse erreur et fait preuve d'inattention. Il n'a pas non plus requis une quelconque mesure d'instruction tout au long de la procédure, ni laissé entendre qu'il doutait du bon fonctionnement du radar le jour des faits, indiquant même n'avoir rien à dire au sujet de la procédure de contrôle. S'il s'est, dans un second temps, déclaré surpris de l'ampleur du dépassement de vitesse, il n'a pas pour autant prétendu qu'il ne pouvait s'expliquer que par une défaillance de l'appareil de mesure. Il ressort au demeurant du procès-verbal de mesures de vitesse que le radar utilisé avait été étalonné le 16 décembre 2014, soit moins de six mois avant la date du contrôle, et n'avait donc en principe pas à faire l'objet d'une vérification supplémentaire avant l'échéance du délai d'un an. De manière plus générale, s'il était loisible à l'appelant de demander la production des documents devant permettre de s'assurer du respect des différentes recommandations émises en la matière par l'OFROU, telles les photographies prises par le radar ou encore les pièces devant attester que l'opérateur chargé du contrôle avait bien suivi une formation idoine, il lui appartenait de le faire d'emblée. De telles mesures d'instruction ne sauraient de bonne foi être sollicitées à un stade de la procédure où elles ne sont plus en mesure d'être administrées (cf. arrêt du Tribunal fédéral 1C_516/2009 du 30 août 2010 consid. 2). Par identité de motifs, l'appelant ne saurait tirer argument de l'absence de tels documents pour obtenir son acquittement au bénéfice du doute, d'autant qu'il n'invoque aucun élément concret permettant de douter de l'excès de vitesse commis, tel qu'il ressort des données relevées par la police et retranscrites dans le procès-verbal de mesures de vitesse. Enfin, le jugement français invoqué ne lui est d'aucun secours, puisqu'on ne voit pas en quoi la Chambre de céans pourrait être liée par le fait qu'il a été considéré que certaines prescriptions du droit français avaient été violées et entraînaient l'acquittement d'un automobiliste du fait que celui-ci n'avait "reçu aucune information tant sur la date d'homologation que sur la date de vérification initiale du cinémomètre fixe (…), ni sur l'identité de l'organisme qui en aurait vérifié le bon fonctionnement initial", cas qui n'est de surcroît pas comparable à celui d'espèce, notamment pour les motifs précédemment exposés. 2.3.2. Il convient ainsi de retenir que l'appelant a circulé au guidon de sa moto de grosse cylindrée à une vitesse dépassant de 73 km/h la vitesse autorisée, marge d'erreur déduite. Cet excès de vitesse entre largement dans les prescriptions de l'art. 90 al. 3 et al. 4 LCR, dont les conditions sont objectivement réalisées. Selon le Tribunal fédéral, un tel comportement implique généralement l'impossibilité d'éviter un grand risque d'accident en cas d'obstacle ou de perte de maîtrise du véhicule. Seules des circonstances particulières permettent d'exclure le dol éventuel, le juge ne conservant sur ce point qu'un pouvoir d'appréciation restreint. Or, en l'espèce, l'appelant n'allègue aucune des circonstances visées par la jurisprudence. Il se rendait chez sa mère en fin de journée, sur une route qu'il devait bien connaître, allant jusqu'à préciser qu'il n'était nullement pressé ce soir-là. Il n'a invoqué aucun motif qui aurait pu l'amener à rouler très vite ou à accélérer fortement, ni mis en cause un éventuel dysfonctionnement de son véhicule. L'excès de vitesse a donc été commis par pure convenance personnelle ou désinvolture, fût-elle momentanée. La bonne visibilité de la route et l'absence de trafic évoquées par l'appelant ne lui sont d'aucun secours, étant encore relevé que la présence d'un piéton ou d'un cycliste, comme d'ailleurs de tout autre obstacle est plus difficile à apercevoir de nuit. L'appelant n'a jamais prétendu ignorer les dangers de la vitesse excessive sur la route, de sorte qu'il ne pouvait qu'être conscient de la nature fondamentale pour la sécurité routière des règles s'y rapportant, qu'il a nonobstant enfreintes. Il devait ainsi tenir pour possible le risque d'accident pouvant entraîner de graves blessures ou la mort, et s'en est accommodé. Il s'ensuit que l'infraction a bien été commise intentionnellement, soit par dol éventuel. Le verdict de culpabilité prononcé en première instance doit ainsi être confirmé.</w:t>
      </w:r>
    </w:p>
    <w:p>
      <w:r>
        <w:rPr>
          <w:b/>
        </w:rPr>
        <w:t>E. 3</w:t>
      </w:r>
    </w:p>
    <w:p>
      <w:r>
        <w:t>Le premier juge a arrêté la peine de l'appelant à un an de privation de liberté, soit le minimum fixé par la loi, et l'a mis au bénéfice du sursis, assorti d'un délai d'épreuve de trois ans. Cette décision, qui est adéquate au vu de la faute de l'appelant, lui est acquise (art. 391 al. 2 CPP). La peine pécuniaire qui lui a été infligée à titre de sanction immédiate, non contestée en tant que telle, apparaît également appropriée, étant au demeurant modeste.</w:t>
      </w:r>
    </w:p>
    <w:p>
      <w:r>
        <w:rPr>
          <w:b/>
        </w:rPr>
        <w:t>E. 4</w:t>
      </w:r>
    </w:p>
    <w:p>
      <w:r>
        <w:t>L'appelant, qui succombe, sera condamné aux frais de la procédure d'appel, qui comprennent un émolument de CHF 1'500.- (art. 428 al. 1 CPP et 14 al. 1 let. e du règlement fixant le tarif des frais en matière pénale du 22 décembre 2010 [RTFMP - RS/GE E 4 10.03]).</w:t>
      </w:r>
    </w:p>
    <w:p>
      <w:r>
        <w:rPr>
          <w:b/>
        </w:rPr>
        <w:t>E. 5</w:t>
      </w:r>
    </w:p>
    <w:p>
      <w:r>
        <w:t>5.1. 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Selon l'art. 135 al. 1 CPP, le défenseur d'office est indemnisé conformément au tarif des avocats de la Confédération ou du canton du for du procès, le règlement sur l'assistance juridique du 28 juillet 2010 (RAJ ; E 2 05.04) s'appliquant à Genève. En vertu de l'art. 16 al. 1 RAJ, l'indemnité due à l'avocat et au défenseur d'office en matière pénale est calculée selon le tarif horaire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l'annonce d'appel ( AARP/184/2016 du 28 avril 2016 consid. 5.2.3.2 et 5.3.1,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Il en va de même de la réception et lecture de pièces, procès-verbaux, ordonnances et jugements, plus particulièrement lorsqu'ils ne tiennent que sur quelques pages ( AARP/425/2013 du 12 septembre 2013, AARP/142/2016 du 14 avril 2016 consid. 5.4.1, AARP/272/2015 du 1 er juin 2015), sous réserve des cas où un examen plus poussé s'imposait, notamment aux fins de déterminer l'opportunité d'un recours au plan cantonal, charge à l'avocat d'en justifier ( AARP/184/2016 du 28 avril 2016 consid. 5.3.1 et AARP/158/2016 du 22 avril 2016 consid. 6.3). En revanche, la consultation et l'étude du dossier ne sont pas compris dans la majoration forfaitaire et doivent par conséquent être indemnisés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5.1.3. De manière plus générale,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Le régime applicable aux visites des clients en détention provisoire (une visite par mois admise) ne s'applique pas au détenu condamné, par exemple celui qui agit en révision ou plaide l'octroi de la libération conditionnelle, ni aux autres justiciables ; seules seront donc retenues la/les visite(s) effectivement nécessaire(s) à la procédure, telle la préparation de la demande de révision ou d'audiences ( AARP/168/2016 du 26 avril 2016 consid. 4.2 et AARP/526/2015 du 7 décembre 2015 consid 4.3.1 ; AARP/571/2014 du 29 décembre 2014 consid. 4.1.3 confirmé par la décision de la Cour des plaintes du Tribunal pénal fédéral BB.2015.8 du 21 juillet 2015 consid. 7.2 ).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 AARP/72/2017 consid. 2.3, à la suite de la décision de la Cour des plaintes du Tribunal pénal fédéral BB.2016.39 consid. 7.2).</w:t>
      </w:r>
    </w:p>
    <w:p>
      <w:r>
        <w:rPr>
          <w:b/>
        </w:rPr>
        <w:t>E. 5.2</w:t>
      </w:r>
    </w:p>
    <w:p>
      <w:r>
        <w:t>En l'espèce, l'état de frais du défenseur d'office de l'appelant est clairement excessif, d'autant que près de 17 heures d'activité ont déjà été admises en première instance, comprenant notamment 2 heures et 15 minutes pour l'étude du dossier et de l'acte d'accusation et sept entretiens avec le client sur les douze facturés. Le temps consacré à la rédaction de l'annonce et de la déclaration d'appel est une prestation comprise dans la majoration forfaitaire pour l'activité diverse, et il en va pour l'essentiel de même de celui relatif à l'"étude du jugement attaqué et du dossier pour appel", la décision attaquée (7 pages, y compris la page de garde et le dispositif) et le dossier, qui n'a connu aucune évolution depuis celle-ci, étant particulièrement succincts, de sorte que seules 30 minutes d'activité seront admises à ce titre. Il sera encore tenu compte de 3 heures pour la préparation des débats d'appel et de 30 minutes pour la durée effective de ceux-ci, vacation de CHF 50.- en sus, étant relevé que l'Etude de l'avocat concerné se situe à 700 mètres du Palais de justice. L'activité postérieure à l'audience d'appel ou au présent arrêt n'a pas à être indemnisée par l'assistance juridique. Enfin, un seul entretien avec le client de 1 heure et 30 minutes sera admis, ce temps apparaissant amplement suffisant tant pour déterminer l'opportunité de faire appel que pour la préparation de l'audience, d'autant que le défenseur d'office n'a posé aucune question à ce dernier au cours de celle-ci. En conclusion, l'indemnité de M e B______ sera arrêtée à CHF 1'490.40, correspondant à 5 heures et 30 minutes d'activité au tarif de CHF 200.-/heure, plus la vacation, la majoration forfaitaire de 20 % et l'équivalent de la TVA au taux de 8% en CHF 110.40.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