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P/13755/2020 vom 30. Mai 2022</w:t>
      </w:r>
    </w:p>
    <w:p>
      <w:r>
        <w:t>GE Cour de justice, 2022-05-30, FR</w:t>
      </w:r>
    </w:p>
    <w:p>
      <w:r>
        <w:rPr>
          <w:b/>
        </w:rPr>
        <w:t xml:space="preserve">Quelle: </w:t>
      </w:r>
      <w:r>
        <w:t>https://mcp.opencaselaw.ch/entscheid/ge_gerichte_P_13755_2020</w:t>
      </w:r>
    </w:p>
    <w:p>
      <w:r>
        <w:t>FR: GE_GERICHTE P/13755/2020 du 30 mai 2022</w:t>
      </w:r>
    </w:p>
    <w:p>
      <w:r>
        <w:t>IT: GE_GERICHTE P/13755/2020 del 30 maggio 2022</w:t>
      </w:r>
    </w:p>
    <w:p>
      <w:pPr>
        <w:pStyle w:val="Heading2"/>
      </w:pPr>
      <w:r>
        <w:t>Regeste</w:t>
      </w:r>
    </w:p>
    <w:p>
      <w:r>
        <w:t>RÉVISION(DÉCISION);IRRESPONSABILITÉ | CPP.374; CPP.410; CP.19</w:t>
      </w:r>
    </w:p>
    <w:p>
      <w:pPr>
        <w:pStyle w:val="Heading2"/>
      </w:pPr>
      <w:r>
        <w:t>Erwägungen</w:t>
      </w:r>
    </w:p>
    <w:p>
      <w:r>
        <w:rPr>
          <w:b/>
        </w:rPr>
        <w:t>E. 1</w:t>
      </w:r>
    </w:p>
    <w:p>
      <w:r>
        <w:t>La demande de révision a été déposée et motivée devant l'autorité compétente et selon la forme prescrite (art. 21 al. 1 let. b du code de procédure pénale [CPP] cum art. 130 al. 1 let. a de la loi sur l'organisation judiciaire [LOJ/GE] et art. 411 CPP).![endif]&gt;![if&gt;</w:t>
      </w:r>
    </w:p>
    <w:p>
      <w:r>
        <w:rPr>
          <w:b/>
        </w:rPr>
        <w:t>E. 2</w:t>
      </w:r>
    </w:p>
    <w:p>
      <w:r>
        <w:t>2.1.1. L'art. 410 al. 1 let. a CPP dispose que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2.1.2. Aux termes de l'art. 413 al. 2 CPP, si la juridiction d'appel constate que les motifs de révision sont fondés, elle annule partiellement ou entièrement la décision attaquée ; elle renvoie la cause pour nouveau traitement et nouveau jugement à l'autorité qu'elle désigne (let. a) ou elle rend elle-même une nouvelle décision si l'état du dossier le permet (let. b). 2.1.3. Selon l'art. 374 CPP,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 (al. 1). Les dispositions régissant la procédure de première instance sont applicables (al. 2). La rédaction d'un acte d'accusation n'est alors pas nécessaire ni même une appréciation de la qualification juridique des faits (L. MOREILLON / A. PAREIN-REYMOND, Code pénal - Petit commentaire , 2 ème éd., Bâle 2016, n. 2, 4 et 9 ad art. 374 CPP et les références). Cette disposition est le reflet de l'art. 19 al. 1 CP, selon lequel l'auteur n'est pas punissable si, au moment d'agir, il ne possédait pas la faculté d'apprécier le caractère illicite de son acte ou de se déterminer d'après cette appréciation. Le tribunal saisi de la demande ordonne les mesures proposées ou d'autres mesures lorsqu'il considère la participation du prévenu et son irresponsabilité comme établies et qu'il tient ces mesures pour nécessaires, auquel cas le prononcé des mesures est rendu sous la forme d'un jugement (art. 375 al. 1 et 2 CPP). L'appel est ouvert contre ce jugement, quand bien même il ne peut, par définition, consacrer aucune condamnation du prévenu irresponsable, afin de lui permettre de faire valoir ses droits relatifs au prononcé de la mesure (A. KUHN / Y. JEANNERET [éds], Commentaire Romand: code de procédure pénale suisse, Bâle 2011 n. 9 ad art. 375).</w:t>
      </w:r>
    </w:p>
    <w:p>
      <w:r>
        <w:rPr>
          <w:b/>
        </w:rPr>
        <w:t>E. 2.2</w:t>
      </w:r>
    </w:p>
    <w:p>
      <w:r>
        <w:t>En l'espèce, l'expertise rendue dans la procédure parallèle était inconnue du SDC et du MP lorsqu'ils ont rendu les ordonnances dont la révision est demandée. Cette expertise, ainsi que son complément, démontrent que la demanderesse était totalement irresponsable durant l'ensemble de la période pénale concernée par les ordonnances en cause. Il convient partant d'admettre la demande de révision et de renvoyer la cause au MP, charge à lui de saisir le TCO s'il l'estime opportun, étant observé que le prononcé d'une mesure dans une autre procédure n'empêche pas d'en ordonner une nouvelle, pas plus que le départ de la prévenue de Suisse, celle-ci pouvant revenir, et que le double degré de juridiction doit être garanti.</w:t>
      </w:r>
    </w:p>
    <w:p>
      <w:r>
        <w:rPr>
          <w:b/>
        </w:rPr>
        <w:t>E. 3</w:t>
      </w:r>
    </w:p>
    <w:p>
      <w:r>
        <w:t>L'état de frais déposé pour l'activité déployée du 4 février au 21 mars 2022 par M e B______, défenseure d'office de A______ pour la procédure de révision, est conforme à la réglementation et à la jurisprudence applicable. Sa rémunération sera arrêtée à CHF 443.10 (CHF 300.- pour 1 heure et 30 minutes de travail + le forfait couvrant les activités diverses au taux de 20% [CHF 60.-] + la TVA au taux de 7.7% [CHF 83.10]).</w:t>
      </w:r>
    </w:p>
    <w:p>
      <w:r>
        <w:rPr>
          <w:b/>
        </w:rPr>
        <w:t>E. 4</w:t>
      </w:r>
    </w:p>
    <w:p>
      <w:r>
        <w:t>Les conclusions de la demanderesse en révision en indemnisation de ses frais de défense, correspondant à l'activité déployée par sa curatrice de représentation et de gestion du 12 février 2021 au 3 février 2022, seront en revanche déclarées irrecevables. En effet, la fixation de la rémunération du curateur selon les règles qui lui sont propres relève du TPAE (art. 404 du code civil suisse, art. 5 al. 1 let. w de la loi d'application du code civil suisse et d'autres lois fédérales en matière civile [LaCC/GE]), à l'appréciation duquel le curateur doit soumettre sa facture en même temps que son rapport périodique ou final (art. 4 al. 1 du règlement fixant la rémunération des curateurs [RRC]). La curatrice sera ainsi renvoyée à soumettre son état de frais au TPAE.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