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P/13748/2019 vom 17. Januar 2024</w:t>
      </w:r>
    </w:p>
    <w:p>
      <w:r>
        <w:t>GE Cour de justice, 2024-01-17, FR</w:t>
      </w:r>
    </w:p>
    <w:p>
      <w:r>
        <w:rPr>
          <w:b/>
        </w:rPr>
        <w:t xml:space="preserve">Quelle: </w:t>
      </w:r>
      <w:r>
        <w:t>https://mcp.opencaselaw.ch/entscheid/ge_gerichte_P_13748_2019</w:t>
      </w:r>
    </w:p>
    <w:p>
      <w:r>
        <w:t>FR: GE_GERICHTE P/13748/2019 du 17 janvier 2024</w:t>
      </w:r>
    </w:p>
    <w:p>
      <w:r>
        <w:t>IT: GE_GERICHTE P/13748/2019 del 17 gennaio 2024</w:t>
      </w:r>
    </w:p>
    <w:p>
      <w:pPr>
        <w:pStyle w:val="Heading2"/>
      </w:pPr>
      <w:r>
        <w:t>Regeste</w:t>
      </w:r>
    </w:p>
    <w:p>
      <w:r>
        <w:t>LÉGITIME DÉFENSE;ÉTAT DE NÉCESSITÉ;AGENT DE SECURITE | CP.181; CPP.10; CP.17; CP.15</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181 CP punit quiconque,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2.2.2. La violence consiste dans l'emploi d'une force physique d'une certaine intensité à l'encontre de la victime (ATF 101 IV 42 consid. 3a).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On peut classer dans cette catégorie les cas où la victime est soumise à des procédés déstabilisants ou effrayants (ATF 107 IV 113 consid. 3b ; ACPR/40/2017 du 1 er février 2017 consid. 3.3).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2.2.3. Sur le plan subjectif, il faut que l'auteur ait agi intentionnellement, c'est-à-dire qu'il ait voulu contraindre la victime à adopter le comportement visé en étant conscient de l'illicéité de son comportement ; le dol éventuel suffit (ATF 120 IV 17 consid. 2c). 2.2.4. L'infraction de contrainte absorbe celle des voies de fait qui peut lui être associée ( A. MACALUSO / L. MOREILLON / N. QUELOZ [éds], Commentaire romand, Code pénal II, Bâle 2017, n. 52 ad art. 181). 2.3.1. À teneur de l'art. 137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(ch. 1). Si l’auteur a trouvé la chose ou si celle-ci est tombée en son pouvoir indépendamment de sa volonté, s’il agit sans dessein d’enrichissement, ou si l’acte est commis au préjudice des proches ou des familiers, l’infraction n’est poursuivie que sur plainte (ch. 2). Cette disposition présuppose notamment l'appropriation d'une chose mobilière appartenant à autrui, ainsi qu'un dessein d'enrichissement illégitime de la part de l'auteur (arrêt du Tribunal fédéral 6B_1043/2015 du 9 décembre 2015 consid. 4.2.1).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L'appropriation est illégitime dès lors qu'elle dénote un comportement contraire à la volonté du propriétaire. L'auteur doit avoir la volonté, d'une part, de priver durablement le propriétaire de sa chose, et, d'autre part, de se l'approprier, pour une certaine durée au moins (ATF 129 IV 223 consid. 6.2.1 ; 121 IV 25 consid. 1c ; 118 IV 148 consid. 2a ; arrêts du Tribunal fédéral 6B_1056/2018 du 29 janvier 2019 consid. 2.3.1 ; 6B_70/2016 du 2 juin 2016 consid. 3.3.2 non publié in ATF 142 IV 315 ; 6B_375/2020 du 9 juillet 2020 consid. 3.3). 2.3.2.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 9 décembre 2015 consid. 4.2.1 et 6B_395/2015 du 25 novembre 2015 consid. 2.2).</w:t>
      </w:r>
    </w:p>
    <w:p>
      <w:r>
        <w:rPr>
          <w:b/>
        </w:rPr>
        <w:t>E. 2.4</w:t>
      </w:r>
    </w:p>
    <w:p>
      <w:r>
        <w:t>Se rend coupable de dommages à la propriété, celui qui aura endommagé, détruit ou mis hors d'usage une chose appartenant à autrui ou frappée d'un droit d'usage ou d'usufruit au bénéfice d'autrui (art. 144 al. 1 CP). L'art. 144 CP institue une infraction intentionnelle, le dol éventuel étant toutefois suffisant (M. DUPUIS / L. MOREILLON / C. PIGUET / S. BERGER / M. MAZOU / V. RODIGARI, Petit commentaire du Code pénal, 2 ème éd., 2017, n. 16 ad art. 144).</w:t>
      </w:r>
    </w:p>
    <w:p>
      <w:r>
        <w:rPr>
          <w:b/>
        </w:rPr>
        <w:t>E. 2.5</w:t>
      </w:r>
    </w:p>
    <w:p>
      <w:r>
        <w:t>Selon l'art. 172 ter al. 1 CP si l'acte ne visait qu'un élément patrimonial de faible valeur ou un dommage de moindre importance, l'auteur sera, sur plainte, puni d'une amende. S'agissant d'objets ayant une valeur marchande ou une valeur objectivement déterminable, celle-ci est seule pertinente pour déterminer si l'acte ne visait qu'un élément patrimonial de faible valeur (ATF 123 IV 113 consid. 3d ; 121 IV 261 consid. 2c). La limite jusqu'à laquelle cette disposition est applicable a été fixée à CHF 300.- (ATF 142 IV 129 consid. 3.1 ; 123 IV 113 consid. 3d).</w:t>
      </w:r>
    </w:p>
    <w:p>
      <w:r>
        <w:rPr>
          <w:b/>
        </w:rPr>
        <w:t>E. 2.6</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(ATF 134 III 193 consid. 4.6 ; arrêts du Tribunal fédéral 5A_170/2013 , 5A_174/2013 du 3 octobre 2013 consid. 3.1). 2.7.1.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Par ailleurs, l'acte de celui qui est attaqué ou menacé de l'être doit tendre à la défense. Un comportement visant à se venger ou à punir ne relève pas de la légitime défense (ATF 93 IV 81 ; arrêts du Tribunal fédéral 6B_130/2017 du 27 février 2018 consid. 3.1 = SJ 2018 I 385 ; 6B_346/2016 du 31 janvier 2017 consid. 2.1.2). L'art. 15 CP n'est plus applicable lorsque l'attaque est achevée (M. DUPUIS / L. MOREILLON / C. PIGUET / S. BERGER / M. MAZOU / V. RODIGARI, op.cit., n. 8 ad art. 15). Par ailleurs, cette disposition ne justifie que les actes dirigés contre l'attaquant. Si d'autres biens juridique qui n'appartiennent pas à ce dernier sont lésés, seul l'état de nécessité, ou un autre fait justificatif, peut être invoqué (M. DUPUIS / L. MOREILLON / C. PIGUET / S. BERGER / M. MAZOU / V. RODIGARI, op.cit., n. 13 ad art. 15). 2.7.2. L'art. 17 CP dispose que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(ATF 147 IV 297 consid. 2.3 ; 129 IV 6 consid. 3.2 ; 122 IV 1 consid. 3a ; arrêt du Tribunal fédéral 6B_1298/2020 du 28 septembre 2021 consid. 3.2). Il y a danger imminent fondant un état de nécessité dans des situations où le péril menace l'auteur de manière pressante. Tel est notamment le cas d'une femme fuyant un époux violent qui venait de lui lancer un couteau et de la menacer de mort si elle ne quittait pas les lieux (ATF 75 IV 49 ). L'art. 17 CP exige encore que le danger ne puisse être détourné autrement. L'impossibilité que le danger puisse être détourné autrement implique une subsidiarité absolue. La question de savoir si cette condition est réalisée doit être examinée en fonction des circonstances concrètes du cas (ATF 147 IV 297 consid. 2.1). En particulier, celui qui dispose de moyens licites pour préserver le bien juridique menacé ne peut pas se prévaloir de l'état de nécessité (arrêt du Tribunal fédéral 6B_1298/2020 du 28 septembre 2021 consid. 3.3). L'exécution de l'acte préjudiciable doit constituer le moyen unique et adéquat pour préserver le bien en danger (arrêt du Tribunal fédéral 6B_145/2021 du 3 janvier 2022 consid. 4.3). 2.7.3.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Zurich 2011, n. 555, p. 189).</w:t>
      </w:r>
    </w:p>
    <w:p>
      <w:r>
        <w:rPr>
          <w:b/>
        </w:rPr>
        <w:t>E. 2.8</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Néanmoins, chaque coauteur n'est responsable que de ce qui est compris dans son intention ; les actes qui vont au-delà ne peuvent lui être imputés (ATF 118 IV 227 consid. 5d/aa). 2.9.1. En l'espèce, il est établi à teneur du dossier, des déclarations des protagonistes, ainsi que des images de vidéosurveillance que A______, F______, D______ et I______ ont encerclé le plaignant et exercé une action physique sur ce dernier en le tirant, le bousculant, le poussant, en tirant sur son t-shirt ou encore en lui arrachant son sac à dos de façon brutale, lui causant notamment des hématomes. Ils ont usé de violences, soit un moyen illicite, pour contraindre le plaignant à arrêter de filmer. Le but poursuivi par les prévenus est également illicite au regard de la liberté de la presse, ce d'autant plus dans l'espace public, alors que le plaignant avait annoncé sa qualité de journaliste et qu'aucune vérification n'a été entreprise par les membres de la sécurité avant de le ceinturer. Enfin, ils bénéficiaient d'un moyen d'action plus proportionné, soit de faire appel aux forces de l'ordre alors présentes. Les prévenus ont dès lors fait usage de contrainte. L'intention est réalisée. La coactivité doit être retenue. Les prévenus ont collaboré à la décision de commettre l'infraction et à son exécution, du moins par actes concluants. En effet, chacun a contribué à former une ceinture autour du plaignant, afin de l'empêcher de filmer. H______ n'a quant à lui pas touché le plaignant. Il s'est cependant rendu à proximité immédiate de ce dernier, ce qui a contribué à renforcer l’encerclement, et n'a, selon les vidéos de surveillance, pas retenu ses collègues. Il a ainsi adhéré à leur comportement et sa présence était de nature à faire pression sur le plaignant. Il en va en revanche différemment de K______. En effet, les images de surveillance de l'hôtel ne permettent pas d'exclure ses explications selon lesquelles il a tenté de calmer les tensions. On le voit notamment effectuer des gestes qui tendent à mettre de la distance entre ses collègues et le plaignant. Cette version lui étant plus favorable, elle devra être retenue et l'infraction de contrainte sera écartée le concernant. 2.9.2. Les prévenus ont ensuite fouillé les poches du plaignant, puis ont ramassé et emporté tous les objets lui appartenant, soit notamment son sac à dos avec son contenu, ses téléphones et son porte-monnaie. Le téléphone avec lequel il filmait a été soustrait afin d'en effacer les images ; le reste de ses affaires a été emporté. Si les appelants ne se sont pas exprimés sur le motif de ces gestes, ils n’ont fait part d'aucune justification en lien avec le but prétendument poursuivi (effacer les images), ce qui n'a pu avoir lieu qu’à des fins punitives de confiscation, voire de vérification que rien n’autorisait. En l’absence de tout motif, rien ne permet de retenir que les prévenus avaient d'emblée l'intention de restituer ses biens au plaignant. Au contraire, l'intervention de la police et, notamment de la BSD, a été nécessaire à cette fin. L'acte d'appropriation doit dès lors être retenu. Ils ont agi avec conscience et volonté, ne pouvant ignorer que le sac, les affaires qui étaient tombées des poches du plaignant ou se trouvant dans son sac lui appartenaient. 2.9.3. Concernant les dommages à la propriété, F______ invoque que les lunettes de soleil coûtaient moins que CHF 300.-. Ce point n'a pas été instruit et la partie plaignante ne s'est pas déterminée au sujet de la valeur des lunettes : elle n’a notamment pris aucune conclusion en réparation du dommage en lien avec ce chef d’accusation. Or, si cet accessoire avait coûté plus que CHF 300.-, ce qui n’est pas usuel pour de simples lunettes de soleil non médicales, il lui aurait été aisé d’en produire la facture, ou à tout le moins un justificatif de leur valeur, par exemple en en indiquant le modèle. La version la plus favorable pour le prévenu doit ainsi être retenue, en application du principe in dubio pro reo, et l'atténuante de l'art. 172 ter CP est réalisée. L'infraction, une contravention qui se prescrit par trois ans, doit donc faire l'objet d'un classement. L'appel sera admis sur ce point. 2.9.4. Les prévenus invoquent des faits justificatifs, soit la légitime défense (art. 15 CP) et l'état de nécessité (art. 17 CP). 2.9.4.1. Même à supposer que le fait que M______ filmait les prévenus constituait une attaque, encore faudrait-il que cette circonstance soit illicite. Or, il ressort clairement de la procédure, notamment de la vidéo enregistrée par le plaignant, que ce dernier avait annoncé à maintes reprises sa qualité de journaliste, terme qui avait même été repris par A______ lorsqu'il s'était adressé à ses collègues. Il ne peut dès lors être retenu que les prévenus ignoraient que le plaignant agissait en sa qualité de journaliste (art. 13 al. 1 CP). Le plaignant était de plus tout à fait légitimé à filmer des agents étrangers qui chargeaient un groupe de manifestants. Ce fait relève en effet de l'intérêt public. Son acte ne peut en conséquence être qualifié d'illicite, de sorte que les prévenus ne peuvent se prévaloir de la légitime défense. 2.9.4.2. Sous l'angle de l'art. 17 CP, le danger que pouvaient représenter les opposants n'est pas démontré. En effet, même à supposer que le plaignant ait fait partie de ce groupe (art. 13 al. 1 CP), ces derniers étaient au nombre de neuf et donc peu nombreux. Ils se sont de plus comportés de façon pacifique durant toute la durée de la manifestation, allant jusqu'à changer de trottoir lorsque cela leur a été demandé. Ils se sont contentés de chanter tout en agitant un drapeau, avant de prendre la fuite devant le comportement menaçant des agents de sécurité. Deux policiers étaient au demeurant présents sur les lieux et prêts à intervenir. Le danger n’était ainsi pas imminent et encore moins impossible à détourner autrement. En effet, il existait une alternative simple, soit faire appel aux forces de l'ordre. Les policiers ont de plus indiqué aux prévenus qu'il n'existait aucune raison leur permettant d'empêcher le plaignant de filmer, confirmant l’absence d’illicéité de son comportement. Enfin, les prévenus ne peuvent se prévaloir d'un objectif sécuritaire – soit la protection de leur président – alors que ce dernier ne se trouvait pas sur place au moment des faits, ce qui rend superflu un examen de l’adéquation de leur comportement, étant relevé qu’il est difficile de comprendre en quoi la maîtrise d’un journaliste, alors que les manifestants étaient d’ores et déjà dispersés, aurait été de nature à renforcer la sécurité dudit président. L'état de nécessité (art. 17 CP) doit dès lors également être écarté. Aucun élément justificatif ne pouvant être retenu, le jugement du TP doit être confirmé et les appels rejetés, mis à part celui de F______, portant sur l'infraction de dommages à la propriété, qui doit être partiellement admis.</w:t>
      </w:r>
    </w:p>
    <w:p>
      <w:r>
        <w:rPr>
          <w:b/>
        </w:rPr>
        <w:t>E. 3.1</w:t>
      </w:r>
    </w:p>
    <w:p>
      <w:r>
        <w:t>Les peines prévues par les art. 181 et 137 ch. 1 et ch. 2 CP sont des peines privatives de liberté de trois ans au plus. Ces infractions sont, alternativement, réprimées par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La peine pécuniaire ne peut excéder 180 jours-amende, le juge fixant leur nombre en fonction de la culpabilité de l'auteur (art. 34 al. 1 CP). Un jour-amende est de CHF 30.- au moins et de CHF 3'000.- au plus (al. 2).</w:t>
      </w:r>
    </w:p>
    <w:p>
      <w:r>
        <w:rPr>
          <w:b/>
        </w:rPr>
        <w:t>E. 3.5</w:t>
      </w:r>
    </w:p>
    <w:p>
      <w:r>
        <w:t>La faute des prévenus n'est pas négligeable. Ils ont agi en groupe et s'en sont pris à la liberté et au patrimoine du plaignant. Leurs mobiles semblent relever de l'excès de zèle voire de l’usurpation de fonctions, ces derniers s'étant arrogés des prérogatives de forces de l'ordre sur sol étranger. Les membres de la police étant présents pour gérer la situation, l'altercation aurait pu et dû être évitée. La collaboration a été mauvaise, les prévenus ayant persisté à minimiser ou nier les faits jusqu'à ce qu'ils soient confrontés aux images de vidéosurveillance et finissent par admettre partiellement leur faute et présenter des excuses. Leur prise de conscience est moyenne, puisque les prévenus ont continué à maintenir en appel que leur comportement était justifié par la situation dangereuse dans laquelle ils se seraient trouvés. Ils n'ont aucun antécédent judiciaire. Leur responsabilité pénale est entière. Aucune circonstance atténuante n'est réalisée. Les appelants ne contestent pas, à juste titre, au-delà de l'acquittement plaidé, la quotité de la peine pécuniaire à laquelle ils ont été condamnés. Ainsi, la peine pécuniaire de 90 jours-amende de A______, H______, D______ et I______, qui sanctionne adéquatement les infractions de contrainte et d'appropriation illégitime (art. 49 al. 1 CP) sera confirmée. Il en ira de même du montant du jour-amende, fixé à CHF 30.- par le premier juge. Le dommage à la propriété étant classé, F______, qui est condamné pour le même complexe de faits que ses co-prévenus, verra sa peine réduite et devra également être condamné à une peine pécuniaire de de 90 jours-amende à CHF 30.- (art. 49 al. 1 CP). Enfin, K______ ne conteste également pas, au-delà de l'acquittement plaidé, la quotité de la peine pécuniaire de 30 jours-amende, qui sanctionne adéquatement l'infraction d'appropriation illégitime et sera, partant, confirmée. Il en ira de même du montant du jour-amende, fixé à CHF 30.- par le premier juge. La détention subie par les prévenus sera imputée sur leurs peines (art. 51 CP). Le sursis prononcé est acquis aux appelants (art. 42 al. 1 CP et art. 391 al. 2 CPP). Le délai d'épreuve, arrêté à trois ans, n'est pas critiquable. 4.  4.1.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4.2. Aux termes de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(arrêts du Tribunal fédéral ATF 6B_491/2023 du 7 août 2023 consid. 3.3 ; 6B_460/2020 du 10 mars 2021 consid. 10.3.1). 4.2.2. Toutefois,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 116 Ia 162 consid. 2c). Le but est d'éviter que l'État doive assumer les frais d'une enquête ouverte en raison d'un comportement fautif d'un justiciable, ce qui serait insatisfaisant et même choquant (ATF 116 Ia 162 consid. 2d/bb). Le fardeau de la preuve incombe à l'État (arrêt du Tribunal fédéral 6B_380/2016 du 16 novembre 2016 consid. 6 et les références). 4.3. Aux termes de l'art. 429 al. 1 CPP, le prévenu a un droit à une indemnisation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qui appliquent par analogie la théorie des concours d'infractions). 4.4. Aux termes de l'art. 418 CPP, lorsque plusieurs personnes sont astreintes au paiement des frais, ceux-ci sont répartis proportionnellement entre elles (al. 1). L'autorité pénale peut ordonner que les personnes astreintes au paiement des frais répondent solidairement de ceux qu'elles ont occasionnés ensemble (al. 2). Elle peut ordonner que des tiers et le prévenu répondent solidairement des frais, conformément aux principes de la responsabilité en droit civil (al. 3). L'art. 418 al. 2 CPP vise essentiellement les cas de participation dans lesquels des motifs d'équité commandent que les intéressés soient tenus solidairement responsables, en application analogique de l'art. 50 CO (Y. JEANNERET / A. KUHN / C. PERRIER DEPEURSINGE (éds), Commentaire romand : Code de procédure pénale suisse, 2 ème éd., Bâle 2019, n. 2 ad art. 418). 4.5. En l'espèce, A______, H______, D______, K______ et I______ succombent intégralement, de sorte qu'ils supporteront équitablement (1/6 ème chacun) les frais de la procédure envers l'État (art. 428 CPP et art. 14 al. 1 let. e du règlement fixant le tarif des frais en matière pénale [RTFMP]), comprenant un émolument de décision de CHF 3'000.-. L'infraction de dommages à la propriété ayant fait l'objet d'un classement, la participation aux frais de F______ devra être réduite de 20% afin d'en tenir compte. Il sera dès lors condamné à payer 2/15 èmes des frais d'appel. Il n'y a pas lieu de revoir la répartition des frais de première instance. En effet, bien qu'une partie de la procédure ait été classée concernant, ce n'est que tardivement qu'il a soulevé l'exception de prescription. Or, l'instruction de ce point aurait permis de trancher la question plus rapidement, ce d'autant plus que cette question s'imposait de manière évidente pour un prévenu assisté d'un avocat. De plus, aucune instruction complémentaire relative aux lunette n'a été nécessaire en première instance, leur sort étant intimement lié à l'infraction de contrainte pour laquelle le prévenu a été condamné. Elle n'a dès lors occasionné aucun frais justifiant que l'on revoie la répartition des frais de première instance. Pour les mêmes motifs, la condamnation de F______ à payer une partie de l'émolument complémentaire de jugement sera confirmée.</w:t>
      </w:r>
    </w:p>
    <w:p>
      <w:r>
        <w:rPr>
          <w:b/>
        </w:rPr>
        <w:t>E. 5</w:t>
      </w:r>
    </w:p>
    <w:p>
      <w:r>
        <w:t>.</w:t>
      </w:r>
    </w:p>
    <w:p>
      <w:r>
        <w:rPr>
          <w:b/>
        </w:rPr>
        <w:t>E. 5.1</w:t>
      </w:r>
    </w:p>
    <w:p>
      <w:r>
        <w:t>Vu l'issue de la procédure, A______, H______, D______, K______ et I______ seront déboutés de leurs conclusions en indemnisation (art. 429 al. 1 CPP a contrario). F______ pourra prétendre à être indemnisé pour ses frais d'avocat à raison d'une heure (CHF 350.- de collaborateur), temps largement suffisant pour traiter de l'exception de prescription. L’appelant résidant à l’étranger, aucune TVA n’est due (art. 8 al. 1 LTVA).</w:t>
      </w:r>
    </w:p>
    <w:p>
      <w:r>
        <w:rPr>
          <w:b/>
        </w:rPr>
        <w:t>E. 5.2</w:t>
      </w:r>
    </w:p>
    <w:p>
      <w:r>
        <w:t>L'intimé, qui obtient gain de cause, peut prétendre à l'indemnisation de ses frais de défense par les appelants. La partie plaignante adresse ses prétentions à l'autorité pénale ; elle doit les chiffrer et les justifier. Si elle ne s'acquitte pas de cette obligation, l'autorité pénale n'entre pas en matière sur la demande (art. 433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Une partie plaignante représentée par un avocat, laquelle demande une indemnité dans son mémoire de recours, ne peut attendre de l'autorité pénale qu'elle l'invite à soumettre un état de frais, dans la mesure où son conseil ne pouvait ignorer la règle de l'art. 433 al. 2 CPP (arrêt du Tribunal fédéral 6B_1345/2016 du 30 novembre 2017 consid. 7.2).</w:t>
      </w:r>
    </w:p>
    <w:p>
      <w:r>
        <w:rPr>
          <w:b/>
        </w:rPr>
        <w:t>E. 5.3</w:t>
      </w:r>
    </w:p>
    <w:p>
      <w:r>
        <w:t>La partie plaignante conclut, dans son mémoire de réponse, à ce que les appelants soient condamnés à lui verser une indemnité pour ses frais de défense, sans toutefois la chiffrer ou produire la note d'honoraires de son conseil. Représentée par un avocat, elle n'ignorait ainsi pas la règle de l'art. 433 al. 2 CPP, étant observé qu'elle a été indemnisée sur la base de cette disposition en première instance, de sorte qu'il ne sera pas donné suite à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