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P/13726/2012 vom 7. Januar 2014</w:t>
      </w:r>
    </w:p>
    <w:p>
      <w:r>
        <w:t>GE Cour de justice, 2014-01-07, FR</w:t>
      </w:r>
    </w:p>
    <w:p>
      <w:r>
        <w:rPr>
          <w:b/>
        </w:rPr>
        <w:t xml:space="preserve">Quelle: </w:t>
      </w:r>
      <w:r>
        <w:t>https://mcp.opencaselaw.ch/entscheid/ge_gerichte_P_13726_2012</w:t>
      </w:r>
    </w:p>
    <w:p>
      <w:r>
        <w:t>FR: GE_GERICHTE P/13726/2012 du 7 janvier 2014</w:t>
      </w:r>
    </w:p>
    <w:p>
      <w:r>
        <w:t>IT: GE_GERICHTE P/13726/2012 del 7 gennaio 2014</w:t>
      </w:r>
    </w:p>
    <w:p>
      <w:pPr>
        <w:pStyle w:val="Heading2"/>
      </w:pPr>
      <w:r>
        <w:t>Regeste</w:t>
      </w:r>
    </w:p>
    <w:p>
      <w:r>
        <w:t>DISPOSITIONS PÉNALES DE LA LSTUP; BLANCHIMENT D'ARGENT; PEINE PÉCUNIAIRE; ATTÉNUATION DE LA PEINE | LStup.19.2; CP.305bis; CP.34; CP.48</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2.2.1 Les actes visés par l'art. 19 ch. 1 let. a à f de la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2.2.2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grammes de drogue pure(ATF 119 IV 180 ; arrêt du Tribunal fédéral 6B_908/2008 du 5 février 2009 consid. 4.1.; B. CORBOZ, Les infractions en droit suisse , 3 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2.3</w:t>
      </w:r>
    </w:p>
    <w:p>
      <w:r>
        <w:t>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 vol. 9, 1996, n. 37 ad art. 305 bis CP). Commet ainsi un acte d’entrave, celui qui conserve de l’argent d’origine criminelle dans son appartement, lorsqu’il résulte des circonstances qu’il a mis son appartement à disposition pour qu’il serve de cachette provisoire à l’argent (cf. arrêt du Tribunal fédéral 6S.702/2000 du 14 août 2008 consid. 2.2 ; 6B_621/2008 du 20 mai 2009 consid 2.1).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 la « somme [en cause] provenait d’un trafic de stupéfiant » était une description suffisante du crime préalable (arrêt 6B_489/2013 du 9 juillet 2013 consid. 1.4). 2.4.1.1 En l'espèce, il est établi que C______ était impliqué dans un trafic d’héroïne et allait au contact des toxicomanes, sur le "plan". Ce prévenu a été observé par la police alors qu’il retournait à l’appartement qu’il occupait avec l’appelant après une transaction et les deux hommes avaient, au cours de la journée, eu douze échanges téléphoniques. Contrairement à ce qu’il prétend, l’appelant était en rapport étroit avec cet individu, qu’il a présenté à son amie intime comme étant un cousin, et que celle-ci a rencontré tant à son domicile en Albanie que dans l’appartement précité. Le téléphone portable de l’appelant comportait des messages codés en langue albanaise et ses explications, au demeurant tardives, au sujet d’une utilisation par des tiers lorsqu’il se séparait de son appareil pour se rendre à la salle de bain, sont à l’évidence farfelues. L’appelant avait la maîtrise d’une importante somme d’argent, composée de petites coupures en euros, ce qui est cohérent avec un trafic de stupéfiants s’adressant principalement à des toxicomanes venant de France. Cet argent a nécessairement un lien étroit avec lui, puisqu’il l’a entreposé au domicile de son amie intime, mère de son fils, et que son frère était censé le récupérer. Le choix du dépositaire suffit pour exclure toute vraisemblance de ses explications, par ailleurs vagues et en tout état guère crédibles, sur deux mystérieux Albanais qui lui auraient confié cet argent en vue de son transport, et dont des représailles seraient à craindre, dès lors qu’il est hautement improbable qu’il aurait voulu ainsi exposer ses proches. En outre, d’autres sommes d’argent ont été trouvées dans l’appartement où logeaient l’appelant et C______ et le premier, qui ne prétend pas avoir une source de revenus réguliers licite, menait un train de vie relativement confortable, invitant son amie au restaurant, à l’hôtel ou l’emmenant en voyage dans son pays. Ces divers éléments sont les indices concordants d’un trafic de stupéfiants comportant au moins un « ouvrier », en la personne de C______, et un chef, en celle de l’appelant, qui donnait les instructions pour les livraisons d'héroïne au premier et collectait les fruits du trafic de drogue. Vu l'importante somme d'argent saisie au domicile de l’amie de l’appelant, le trafic a nécessairement porté sur une quantité importante de stupéfiants de sorte que la circonstance aggravante de l’art. 19 al. 2 let. a LStup est réalisée. L’appelant n’a d’ailleurs pas contesté cette qualification juridique, pour le cas où son implication serait retenue. Le jugement entrepris sera par conséquent confirmé sur ce point. 2.4.1.2 Vu la confirmation de culpabilité de l'appelant du chef de la principale infraction reprochée dans l'acte d'accusation du 10 avril 2013, l'accusation alternative d'infraction à l'art. 305 bis CP est sans objet. 2.4.2 L'appelante ne connaissait pas d’activité professionnelle à son ami intime, qui parvenait tout de même à louer un appartement, à voyager en Albanie et à lui offrir des nuits d'hôtels et des repas au restaurant. La nouvelle version livrée en appel selon laquelle l’appelant aurait déposé le sac contenant l’argent dans l’appartement sans lui laisser de choix, sera écartée, pour ne pas correspondre aux précédentes déclarations de l’appelante. Celle-ci a admis avoir pensé que l'appelant faisait des "trucs pas nets", tout comme elle a expliqué ses réticences à l’idée de conserver l’argent litigieux à son domicile par la crainte de perdre son fils ou encore affirmé qu’elle n’aurait pas exécuté d’éventuelles instructions de peur de s’impliquer davantage. Aussi l’appelante a-t-elle au moins eu un doute sur la provenance illicite des fonds reçus, dont elle a accepté qu’il fût fondé, procédant néanmoins ; eu égard à l’importance de la somme en question, dont elle a eu connaissance, elle n’a pas pu penser qu’il ait pu avoir été obtenu par la commission d’une infraction mineure. Vu sa précédente condamnation, elle était d’ailleurs plus qu’une autre personne en mesure d’appréhender la situation. Il sera ainsi retenu que l’appelante a accepté de détenir à son domicile des fonds de provenance criminelle, ce qu’elle a, à tout le moins envisagé et accepté. À compter de l’arrestation de son ami, elle ne pouvait plus avoir le moindre doute, de sorte que d’éventuel, le dol est devenu direct. L’élément constitutif de l’entrave est également réalisé, car en acceptant d’abriter les fonds provenant du trafic de drogue au domicile d’une famille ordinaire et sans liens apparents avec le trafic de stupéfiants, dans une armoire abritant les effets personnels de la jeune mère qu’elle était et de son enfant, l’appelante a rendu plus difficile l’identification et la confiscation de ces fonds. Le subterfuge a d’ailleurs failli aboutir, seule l’instruction maladroitement déguisée contenue dans le courrier de l’appelant A______ ayant éveillé les soupçons du Ministère public. La déclaration de culpabilité de l'appelante du chef de blanchiment d'argent sera partant aussi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3.1.2 En matière d'infractions à la LStup, le Tribunal fédéral a souligné à maintes reprises que la quantité de drogue sur laquelle a porté le trafic, comme le degré de pureté de celle-ci, n'a pas une importance prépondérante pour la fixation de la peine (cf. arrêts du Tribunal fédéral 6B_706/2008 du 3 décembre 2008 consid. 2.2). Il s'agit d'un élément pertinent pour apprécier la gravité de la faute, mais qui doit être apprécié conjointement avec les autres facteurs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(ATF 121 IV 202 consid. 2d/aa p. 204 ; 118 IV 342 consid. 2d p. 349). 3.2.1 Selon l'art. 48 lit. a ch. 2CP,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3.2.2 À teneur de l'art. 48 lit. a ch. 4 CP, le juge atténue la peine si l'auteur a agi sous l'ascendant d'une personne à laquelle il devait obéissance ou de laquelle il dépendait. La dépendance peut résulter de la loi ou de rapports de faits, tels que le concubinage. Les circonstances concrètes du cas doivent être prises en compte, telles que la situation financière, la personnalité plus ou moins forte des intéressés, l'intensité et les caractéristiques de leurs relations réciproques. L'état de dépendance ne suffit pas en soi; l'infraction doit en outre avoir été commise à l'instigation de la personne dont l'auteur dépend (ATF 115 IV 8 consid. II/a, ATF 102 IV 237 , JdT 1978 IV 36, CR CP-I Pellet, N 25 ad art. 48).</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3.5</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3.5.1</w:t>
      </w:r>
    </w:p>
    <w:p>
      <w:r>
        <w:t>La faute de l'appelant est lourde. À la tête d’une cellule comportant au moins lui-même et un ouvrier, exposé en premier lieu au risque d’arrestation, il a participé à un trafic néfaste pour la santé publique. Il n’a de surcroît pas hésité à entraîner sa jeune compagne dans une activité illicite connexe au trafic et particulièrement importante, ce qui lui permettait de profiter sans entraves des fruits de son trafic. Sa collaboration à la procédure a été exécrable. Il a certes admis se trouver sans droit en Suisse mais s’est évertué à nier les faits les plus graves, inventant des explications toujours plus farfelues et s’enferrant dans le déni. Il n’y a chez lui ni prise de conscience ni, a fortiori , quelque amendement, son seul réel regret semblant être d’avoir ainsi exposé la mère de son fils. Son mobile relève uniquement de l'appât du gain, étant rappelé que l’intéressé n’est pas toxicomane. Il a déjà été précédemment condamné pour une infraction aux dispositions régissant le séjour des étrangers, ce qui est un signe supplémentaire du peu de cas qu’il fait des normes en vigueur. Sa décision de verser dans le trafic de stupéfiants, qui plus est à un tel niveau, est d’autant plus incompréhensible que sa situation personnelle était relativement bonne, dans la mesure où il avait eu des emplois en Italie et avait noué une relation stable avec l’autre appelante, dont il venait d’avoir un fils.</w:t>
      </w:r>
    </w:p>
    <w:p>
      <w:r>
        <w:rPr>
          <w:b/>
        </w:rPr>
        <w:t>E. 3.5.2</w:t>
      </w:r>
    </w:p>
    <w:p>
      <w:r>
        <w:t>Au vu de l'ensemble des circonstances, une peine sévère s'impose. Il y a concours d'infractions (art. 49 al. 1 CP), ce qui justifie une augmentation de la peine dans une juste proportion. La quotité de quatre ans prononcée par les premiers juges est équitable, quand bien même elle est incompatible avec le prononcé du sursis, dont la condition subjective n'est de toute façon pas réalisée. De même, les premiers juges ont à juste titre révoqué le précédent sursis, vu la récidive spécifique accompagnée de la commission d’une infraction de gravité nettement plus importante et l’absence de toute prise de conscience. 3.6.1 La faute de l'appelante est au moins de gravité moyenne. Celle-ci s'est facilement accommodée d'une situation qu'elle savait illicite, agissant sans doute par faiblesse de caractère et n’hésitant pas à impliquer indirectement sa famille pour avoir utilisé l’appartement familial, alors qu'elle avait la responsabilité d’un petit enfant et se savait sous le coup d’un sursis. Sa situation n’était certes pas facile au plan matériel - encore qu’elle bénéficiait du soutien de sa famille - mais elle ne prétend pas avoir agi pour échapper à cette condition. Le seul souci de ne pas fâcher l’homme aimé, père de son enfant, ne saurait être assimilé à un état de détresse profonde. Il ne peut non plus être retenu que l'appelante ait agi sous son ascendant, étant rappelé que le couple ne vivait pas en concubinage et que son ami n’assurait pas l’entretien de la famille. Les allégations de violences sont peu crédibles, pour être tardives ; de surcroît, l’appelante s’est empressée d’expliquer qu’il ne s’agissait pas d’actes d’une gravité propre à créer une véritable situation d’emprise et qu’au contraire, elle avait trouvé la force d’exiger qu’ils cessent. La coutume patriarcale dont est issu l’appelant A______, qui a au demeurant affirmé que son amie n’était pas une femme soumise, ne crée pas un devoir d’obéissance. L’appelante ne peut par conséquent se prévaloir d’aucune circonstance atténuante, ce d'autant qu'elle est née et a grandi en Suisse. À décharge, il sera retenu que la collaboration à la procédure a été plutôt bonne. Néanmoins, l’appelante a tendance à ne pas assumer la pleine responsabilité de son acte, se présentant comme une victime des circonstances, de sorte qu’elle doit encore travailler sur le chemin de la prise de conscience. Au regard à l’ensemble de ces circonstances, la quotité de la peine de six mois fixée par les premiers juges est adéquate et doit être confirmée. 3.6.2 C’est en revanche à raison que l'appelante requiert le prononcé d'une peine pécuniaire, celle-ci étant compatible avec ses projets de formation professionnelle et la charge de son enfant. Eu égard à ses moyens limités, une peine à CHF 10.- le jour-amende sera prononcée. 3.6.3 Quoiqu’en dise l’appelante, les circonstances ne sont pas particulièrement favorables au sens de l’art. 42 al. 2 CP. Celle-ci a en effet récidivé dans le délai d’épreuve et l’infraction sous-jacente à celle nouvellement commise relève, comme la précédente, du trafic de stupéfiants. Ainsi qu’il vient d’être retenu, la prise de conscience n’est qu’embryonnaire. La présence de l’enfant n’est pas une garantie d’un bon comportement, dès lors qu’elle n’a pas constitué un empêchement lorsqu’il s’est agi de céder à la demande de l’appelant A______. Le jugement entrepris sera par conséquent confirmé dans la mesure où il lui refuse le bénéfice d’un nouveau sursis. 3.6.4 La renonciation à la révocation du précédent sursis est quant à elle acquise, faute d'un appel du Ministère public.</w:t>
      </w:r>
    </w:p>
    <w:p>
      <w:r>
        <w:rPr>
          <w:b/>
        </w:rPr>
        <w:t>E. 4</w:t>
      </w:r>
    </w:p>
    <w:p>
      <w:r>
        <w:t>Les frais de la procédure d’appel, comprenant un émolument de décision de CHF 2'000.- (art. 14 al. 1 let. e du règlement fixant le tarif des frais en matière pénale du 22 décembre 2010 (RTFMP ; RS E 4 10.03), seront répartis à raison de trois quarts à charge de l’appelant, qui succombe intégralement, et d’un quart pour l’appelante, qui n’obtient gain de cause que dans une faible mesure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