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P/13715/2021 vom 7. Juni 2023</w:t>
      </w:r>
    </w:p>
    <w:p>
      <w:r>
        <w:t>GE Cour de justice, 2023-06-07, FR</w:t>
      </w:r>
    </w:p>
    <w:p>
      <w:r>
        <w:rPr>
          <w:b/>
        </w:rPr>
        <w:t xml:space="preserve">Quelle: </w:t>
      </w:r>
      <w:r>
        <w:t>https://mcp.opencaselaw.ch/entscheid/ge_gerichte_P_13715_2021</w:t>
      </w:r>
    </w:p>
    <w:p>
      <w:r>
        <w:t>FR: GE_GERICHTE P/13715/2021 du 7 juin 2023</w:t>
      </w:r>
    </w:p>
    <w:p>
      <w:r>
        <w:t>IT: GE_GERICHTE P/13715/2021 del 7 giugno 2023</w:t>
      </w:r>
    </w:p>
    <w:p>
      <w:pPr>
        <w:pStyle w:val="Heading2"/>
      </w:pPr>
      <w:r>
        <w:t>Erwägungen</w:t>
      </w:r>
    </w:p>
    <w:p>
      <w:r>
        <w:rPr>
          <w:b/>
        </w:rPr>
        <w:t>E. 3</w:t>
      </w:r>
    </w:p>
    <w:p>
      <w:r>
        <w:t>3.1.1. Selon l'art. 189 CP,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et les références citées ; 122 IV 97 consid. 2b). L'art. 189 CP ne protège des atteintes à la libre détermination en matière sexuelle que pour autant que l'auteur surmonte ou déjoue la résistance que l'on pouvait raisonnablement attendre de la victime (ATF 148 IV 234 consid. 3.3 ; 133 IV 49 consid. 4 et la référence citée). En introduisant la notion de " pressions psychiques ", le législateur a voulu viser les cas où la victime se trouve dans une situation sans espoir, sans pour autant que l'auteur eût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 122 IV 97 consid. 2b). En cas de pressions d'ordre psychique, il n'est pas nécessaire que la victime eût été mise hors d'état de résister (ATF 148 IV 234 consid. 3.3 et les références citées ; 124 IV 154 consid. 3b). La pression psychique générée par l'auteur et son effet sur la victime doivent néanmoins atteindre une intensité particulière (ATF 148 IV 234 consid. 3.3 et les références citées ; 131 IV 167 consid. 3.1). Pour déterminer si l'on se trouve en présence d'une contrainte sexuelle, il faut procéder à une appréciation globale des circonstances concrètes déterminantes (ATF 148 IV 234 consid. 3.3 et les références citées ; 131 IV 107 consid. 2.2).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 119 IV 309 consid. 7b). Pour analyser si l'effet requis sur la victime a une intensité comparable à celle de la violence ou de la menace, il faut se fonder sur les circonstances de fait et la situation personnelle de la victime (arrêts 6B_159/2020 du 20 avril 2020 consid. 2.4.1 ; 6B_502/2017 du 16 avril 2018 consid. 1.1.2 ; 6B_1149/2014 du 16 juillet 2015 consid. 5.3.1). Sur le plan subjectif, la contrainte sexuelle est une infraction intentionnelle. L'auteur doit savoir que la victime n'est pas consentante ou en accepter l'éventualité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références citées ; arrêt non publié 6B_1191/2023 du 21 décembre 2023 consid 1.1). 3.1.2. La jurisprudence précise que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Néanmoins,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3.2.1. Le TCO a en substance retenu que la partie plaignante a consenti aux actes sexuels commis, dans le contexte d'une négociation, certes insistante du côté du prévenu, mais dans le cadre de laquelle l'adolescente a pu exprimer avec succès son refus d'une pénétration pénienne et sa demande d'interrompre l'épisode contre le mur. L'intimé n'avait pas exercé de contrainte physique ou proféré des menaces. Le fait qu'il avait été par le passé et brièvement, son professeur de danse et que les deux protagonistes avaient ensuite sporadiquement échangé sur les réseaux sociaux ne suffisait pas pour fonder un lien de dépendance, d'amitié ou de subordination. Rien n'indiquait que la jeune fille eût été empêchée de quitter les lieux, si elle l'avait voulu, ou avait peur, sa seule préoccupation étant que sa mère ne rentre. Son âge, son inexpérience et l'insistance de l'auteur étaient propres à l'infraction d'actes d'ordre sexuel sur des enfants, sans justifier " en soi " l'application concurrente de l'art. 189 CP. Le prévenu fait sien ce raisonnement, alors que la partie plaignante plaide une appréciation de l'ensemble des circonstances à l'aune de la jurisprudence admettant qu'une intensité moindre des pressions psychiques suffit pour admettre la contrainte lorsque la victime est un enfant. 3.2.2. Il sera tout d'abord relevé que s'il est exact que l'âge de la victime, son inexpérience et l'insistance de l'auteur sont (souvent, s'agissant des deuxième et troisième éléments) propres à l'infraction d'actes d'ordre sexuel avec un enfant, cela ne comporte pas encore qu'il ne faut pas aussi les prendre en considération à l'heure d'examiner si l'infraction de contrainte sexuelle (ou de viol) est en sus réalisée. 3.2.3. Il est réducteur d'affirmer que l'appelante a consenti aux actes accomplis. Il résulte certes de l'état de fait retenu ci-dessus que la jeune fille était attirée (elle le trouvait beau) par le prévenu, qu'elle avait accepté de se dénuder lors d'un appel vidéo, dont il lui avait dit qu'il avait utilisé l'enregistrement pour se masturber, et qu'elle envisageait et acceptait que le rendez-vous dans la cave pourrait donner lieu à des " bisous ". Pour autant, il résulte clairement de ses dires, jugés véridiques, qu'elle n'était pas d'accord qu'il y eût davantage que cela. Il faut donc identifier si elle a fini par céder sous la contrainte ou si elle s'est laissée convaincre. Ce n'est que dans cette seconde hypothèse qu'il faudrait admettre qu'elle a consenti. 3.2.4. À l'instar de ce qu'ont fait les premiers juges, on retiendra qu'il n'y a eu ni violence ou autre forme de contrainte physique, ni menace. Si l'argument selon lequel il peut arriver, dans le contexte d'une relation consentie, qu'un partenaire place les mains de l'autre contre un mur, paraît quelque peu incongru en l'espèce, il demeure que la partie plaignante n'a pas évoqué qu'elle était retenue avec une telle force qu'il lui était impossible ou très difficile de se dégager ; elle a du reste pu le faire, d'un coup de coude, lorsqu'elle a eu l'impression que l'intimé allait la pénétrer de ses doigts. L'exclamation selon laquelle la jeune fille ne pouvait pas laisser l'intimé " comme ça " est plus problématique, à la limite de la menace, car elle peut être comprise comme impliquant des conséquences négatives en cas de persistance du refus. Néanmoins, il n'y aurait eu qu'une unique menace, et peu explicite, de sorte que ce moyen de contrainte doit être écarté, à tout le moins au bénéfice du doute. 3.2.5. Reste la question de la pression psychique. Il est vrai que le prévenu n'était pas un adulte de référence pour l'adolescente. Néanmoins, ils appartenaient à la même communauté, la mère de l'appelante le tenait pour quelqu'un de bien, il avait, certes brièvement, été son professeur de danse et il était plus âgé, autant d'éléments propres à inspirer de la confiance. Enfin, la jeune fille s'était entichée de l'intéressé, qu'elle trouvait beau, au point de céder à sa demande de se dénuder lors de l'appel vidéo, et elle savait qu'elle bravait un interdit parental, en le retrouvant à la cave, d'où un sentiment déstabilisant de culpabilité. Le prévenu était, pour sa part, et de son propre aveu, à une période de sa vie où il ne prêtait aucune attention aux dires des femmes, qu'il traitait comme des objets, et une vierge était, à ses yeux, irrésistible. Il était partant particulièrement déterminé et l'a donné à comprendre à l'adolescente. L'inégalité des parties, tant en termes de stature physique que de développement cognitif et d'(in-)expérience en matière sexuelle était importante. L'ensemble de ces circonstances fait que la jeune fille était placée dans une situation d'infériorité, de sujétion, par rapport à lui. À cela s'ajoute que les parties se trouvaient dans le sous-sol abritant les caves de l'immeuble, soit dans un lieu où elles ne pouvaient être ni vues ni entendues, à moins qu'un autre locataire ne survînt, ce qui était peu probable. Cela était propre à provoquer chez une jeune fille de 13 ans, de constitution frêle face à un homme nettement plus imposant, le sentiment qu'elle n'avait pas d'échappatoire (elle a dit qu'elle estimait ne pas pouvoir sortir) et ce quand bien même on ne déduit pas de ses premières déclarations – seules prises en considération – que le prévenu s'était placé entre elle et le couloir (encore que, s'agissant de la troisième phase, cela est inhérent à la position des parties, elle tournée contre le mur et lui debout derrière elle). La jeune fille a cédé à une partie des demandes du prévenu sur son insistance et non sans avoir tenté de le convaincre de renoncer. Déjà au stade des baisers, qui l'ont surprise, elle l'a interrompu, en engageant une conversation, mais il a recommencé ; elle n'a accepté de prodiguer la première fellation que parce qu'elle pensait ne pas avoir d'autre choix, sauf à accepter le rapport sexuel ; elle a protesté lorsque le prévenu l'a informée de ce que ce ne serait pas tout, lors même qu'elle avait accompli sa part du marché en prodiguant ladite fellation ; tout au long de la troisième phase, elle a clairement manifesté qu'elle n'était pas d'accord ; elle n'a exécuté la seconde fellation que parce qu'elle était habitée par le sentiment qu'elle ne pouvait pas résister, notamment pas quitter les lieux. Même si un sentiment de peur n'a été évoqué que de façon confuse, sans que l'on comprenne si l'adolescente avait peur du prévenu ou du retour de sa mère, voire des deux, il reste compréhensible que l'appelante finît par se soumettre, sans résister davantage, car au regard de l'ensemble des circonstances, elle ne pouvait guère que nourrir la conviction que toute résistance était vaine. Le prévenu a en effet adopté, par son comportement et son propos, une attitude impérative : il lui a dit qu'elle avait le choix entre la fellation et la pénétration et ne l'a pas détrompée lorsqu'elle a indiqué qu'elle ne prenait la première option que parce qu'elle avait compris qu'il n'y avait que ces deux alternatives ; il lui a affirmé qu'en définitive ce ne serait pas tout, avant de la tourner contre le mur ; il a baissé son short et sa culotte et écarté ses jambes d'un coup au pied tout en retenant ses mains, malgré ses protestations ; il lui a dit qu'il n'était pas dupe lorsqu'elle a prétexté que sa mère allait rentrer ; il lui a encore affirmé qu'elle était " nulle ", que c'était de sa faute, parce qu'elle était trop belle et qu'elle ne pouvait pas le " laisser comme ça ". Si, à l'aune de la notion de contrainte telle qu'exigé par l'art 189 CP et de la jurisprudence y relative, on pourrait probablement attendre d'une femme adulte et ne présentant pas de vulnérabilité particulière qu'elle oppose davantage de résistance, tel n'est pas le cas de la partie plaignante, eu égard à la situation d'infériorité dans laquelle elle se trouvait, du lieu où se sont déroulés les faits et de ce qu'au fur et à mesure des événements, chacune de ses protestations était balayée, d'où un sentiment que ce qui arrivait était inévitable, un sentiment d'impuissance. 3.2.5. Il est ainsi retenu que le prétendu consentement de la partie plaignante n'en est pas un ; il s'agit de soumission, obtenue au moyen de pressions psychologiques d'une intensité comparable, vu les circonstances particulières, à l'usage de la violence ou de la menace.</w:t>
      </w:r>
    </w:p>
    <w:p>
      <w:r>
        <w:rPr>
          <w:b/>
        </w:rPr>
        <w:t>E. 3.3</w:t>
      </w:r>
    </w:p>
    <w:p>
      <w:r>
        <w:t>Au plan subjectif, le prévenu a nécessairement compris que la jeune fille n'était pas d'accord. Il reconnaît qu'elle a, tout au long, manifesté un refus. Selon lui (et le TCO), elle évoquait plutôt la préoccupation que sa mère ne rentrât, mais peu importe le motif allégué (à supposer qu'il n'eût pas compris que ce n'était qu'un prétexte, ce qui est douteux) : il demeure qu'il était clair qu'elle ne voulait pas. De fait, l'appelant ne voulait pas entendre un refus, décidé qu'il était à parvenir à l'éjaculation (" tu ne me laisses pas là "). À cette fin, il a exploité sa situation de supériorité, en intimant des ordres et en induisant chez sa victime le sentiment qu'il n'y avait pas d'autre issue que de se soumettre. Il n'a que très partiellement respecté son libre arbitre, en ce sens qu'il a renoncé à obtenir un rapport sexuel complet ou a cessé de la caresser et de frotter son pénis entre ses cuisses, mais uniquement en exigeant d'autres actes. L'intimé était d'ailleurs si conscient du problème qu'il ne s'est pas contenté d'affirmer qu'il n'aurait pas compris que la partie plaignante n'était pas d'accord ; il a inventé le grossier mensonge de l'accord préalable sur la fellation avec éjaculation faciale et a faussement décrit un comportement actif de la jeune fille (c'était elle qui avait entrepris de rapidement commencer, parce qu'ils avaient peu de temps ; elle avait elle-même déboutonné son short ; selon la première version de l'intimé, c'était elle qui dans la cave avait choisi que l'éjaculation intervînt sur son visage ; moment de connivence lorsque du sperme avait pénétré dans son œil). Il a ainsi agi avec conscience et volonté.</w:t>
      </w:r>
    </w:p>
    <w:p>
      <w:r>
        <w:rPr>
          <w:b/>
        </w:rPr>
        <w:t>E. 3.4</w:t>
      </w:r>
    </w:p>
    <w:p>
      <w:r>
        <w:t>L'appel est admis et le jugement reformé, l'intimé étant également reconnu coupable de contrainte sexuelle.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4.2</w:t>
      </w:r>
    </w:p>
    <w:p>
      <w:r>
        <w:t>La faute de l'intimé est grave : il s'en est pris à une adolescente de 13 ans ou, à le suivre, dont il pensait qu'elle en avait 15, et inexpérimentée, ce qui, loin de représenter un motif supplémentaire de retenue à ses yeux, était au contraire un attrait, la manipulant habilement pour l'amener à le suivre dans un sous-sol où, à force de pressions psychologique, il l'a contrainte à subir des actes d'ordre sexuel sous la forme de baisers insistants, d'une première fellation, d'attouchements du sexe de la jeune fille tandis qu'il frottait son pénis découvert entre ses cuisses dénudées, enfin une seconde fellation, avec éjaculation faciale, soit des actes d'une gravité certaine. Il a agi avec habileté et détermination, tirant parti des circonstances et balayant chacune des tentatives de résistance de la partie plaignante, jusqu'à obtenir sa soumission. Il n'a eu aucun égard pour deux biens juridiques essentiels, soit le bon développement des mineurs et la libre détermination en matière sexuelle, et aucune pensée pour le traumatisme qu'il causait. Certes, il n'a pas eu recours à la violence physique ou aux menaces, mais la contrainte psychologique est une forme de violence, aux conséquences pernicieuses car elle alimente chez la victime un sentiment de culpabilité susceptible d'être aussi difficile à supporter que des lésions causées par des coups ou l'effroi généré par la menace. Certes aussi, il accepté le refus de rapport sexuel complet ou d'interrompre l'épisode contre le mur, mais, comme déjà dit, cela n'a été que contre d'autres actes. Il n'a mis fin à ses agissements que lorsqu'il a obtenu la jouissance qu'il recherchait. Le mobile était celui, égoïste, de la satisfaction de ses pulsions sexuelles. La collaboration doit être qualifiée de bonne en ce qui concerne l'infraction à l'art. 187 CP, l'appelant ayant admis avoir pratiqué des actes sexuels sur une jeune fille qu'il dit avoir cru âgée de 15 ans, ce que le TCO n'a pas exclu. Elle a été au mieux moyenne s'agissant de l'infraction de contrainte sexuelle. S'il n'est pas établi qu'il a sciemment donné un identifiant incorrect pour son compte Snapchat, il demeure que l''intéressé a pris soin, tout au long de la procédure, d'agrémenter son récit d'éléments, en définitive tenus pour faux, afin d'accréditer la thèse du consentement. Il a eu quelques élans de sincérité, en particulier lorsqu'il a admis devant le TCO avoir été dans un période de sa vie où il traitait les femmes comme des objets. Il est regrettable qu'il ne soit pas allé jusqu'au bout de la démarche, nuançant même cette concession en appel. La prise de conscience est, au mieux, balbutiante, vu la persistance de ses dénégations et l'absence de toute manifestation d'empathie pour la victime. À raison, il ne soutient pas que sa situation personnelle justifiât en quoi que ce soit ses actes. L'absence d'antécédents a un effet neutre sur la peine. L'infraction abstraitement la plus grave est celle de contrainte sexuelle, la peine menace maximale étant de 10 ans, contre cinq pour l'art. 187 ch. 1 CP. Compte tenu des éléments qui précèdent, la peine de base sera arrêtée à deux ans, augmentée de neuf mois (peine hypothétique : une année) en raison du concours idéal, d'où un total de 33 mois.</w:t>
      </w:r>
    </w:p>
    <w:p>
      <w:r>
        <w:rPr>
          <w:b/>
        </w:rPr>
        <w:t>E. 4.3</w:t>
      </w:r>
    </w:p>
    <w:p>
      <w:r>
        <w:t>Vu cette issue, le sursis demeure acquis à l'appelant dans son principe, mais il ne peut être que partiel, s'agissant de la peine privative de liberté. La quotité ferme en sera arrêtée à six mois et celle du délai d'épreuve à quatre ans, vu la nécessité d'une bien plus ample prise de conscience.</w:t>
      </w:r>
    </w:p>
    <w:p>
      <w:r>
        <w:rPr>
          <w:b/>
        </w:rPr>
        <w:t>E. 5</w:t>
      </w:r>
    </w:p>
    <w:p>
      <w:r>
        <w:t>5.1. Il n'y a pas lieu de revenir sur l'interdiction d'activités professionnelles ou non avec les enfants, au sens de l'art. 67 al. 3 let. b CP, et sur le principe de l'expulsion, obligatoires, en l'absence d'appel du condamné.</w:t>
      </w:r>
    </w:p>
    <w:p>
      <w:r>
        <w:rPr>
          <w:b/>
        </w:rPr>
        <w:t>E. 5.2</w:t>
      </w:r>
    </w:p>
    <w:p>
      <w:r>
        <w:t>La renonciation à l'inscription de la seconde dans le registre SIS sera confirmée, non pas parce que le MP a renoncé à l'appel joint, étant rappelé que la question doit être examinée d'office par la juridiction d'appel et que l'interdiction de la reformation in pejus ne s'y applique pas (ATF 146 IV 172 , consid. 3.3.3, 3.3.4 et 3.3.5 ; arrêt non publié 6B_1030/2023 consid 3.1 du 15 novembre 2023), mais par renvoi à la motivation des premiers juges, que la juridiction d'appel fait sienne (art. 82 al. 4 CPP).</w:t>
      </w:r>
    </w:p>
    <w:p>
      <w:r>
        <w:rPr>
          <w:b/>
        </w:rPr>
        <w:t>E. 6</w:t>
      </w:r>
    </w:p>
    <w:p>
      <w:r>
        <w:t>6.1.1. L'art. 49 al. 1 CO dispose que celui qui subit une atteinte illicite à sa personnalité a droit à une somme d'argent à titre de réparation morale, pour autant que la gravité de l'atteinte le justifie et que l'auteur ne lui ait pas donné satisfaction d'une autre manière.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6.1.2.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6.1.3. Le guide relatif à la fixation du montant de la réparation morale selon la loi sur l'aide aux victimes établi le 3 octobre 2019 par l'Office fédéral de la justice (OFJ), sur lequel s'appuie la partie plaignante dans son argumentaire,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6.1.4. À titre d'exemple, le Tribunal fédéral a fixé ou confirmé les indemnités suivantes en faveur de mineures victimes d'actes d'ordre sexuel : - CHF 50'000.- à chacune de deux fillettes contraintes, de leurs cinq/six ans à leurs 13 ans, par leur oncle, à subir divers actes d'ordre sexuel, tels que des fellations et des masturbations contraintes ainsi que l'acte sexuel pour l'une d'entre elles, qui les avaient fortement atteintes dans leur intégrité physique et psychique. Ces abus avaient engendré chez elles un véritable traumatisme et un futur recours à des traitements pour faire face à certains événements de leur vie affective et sexuelle était probable (arrêt du Tribunal fédéral 6B_646/2008 du 23 avril 2009 consid. 6) ; - CHF 40'000.- à une fillette ayant subi de ses six à ses neuf ans divers actes d'ordre sexuel de la part d'un ami de la famille, et qui n'avait été capable de dévoiler les faits que dix ans après (arrêt du Tribunal fédéral 6B_486/2015 du 25 mai 2016 consid. 4) ; - CHF 20'000.- à une jeune fille mineure, souffrant d'un retard mental et de dysphasie, ayant subi sur une période d'un peu plus de deux ans des abus sexuels de la part de l'ami de sa mère qui lui avait imposé les actes suivants : lui avoir montré des films pornographiques, s'être masturbé devant elle pendant ces visionnements, avoir commis sur elle des actes d'ordre sexuel et l'avoir amenée à en commettre sur lui (attouchements, masturbations, fellations, sodomies, cunnilingus, introduction d'un doigt dans le sexe et frottement de son sexe contre celui de la victime), l'avoir parfois filmée à son insu pendant ces actes et l'avoir photographiée nue ou avec des sex-toys et d'avoir profité de sa différence d'âge avec sa victime et du handicap de cette dernière pour la contraindre à subir les actes en question après l'avoir soumise à des pressions d'ordre psychique ainsi que de l'avoir, dans les mêmes conditions, pénétrée avec son sexe (arrêt du Tribunal fédéral 6B_1150/2014 du 19 novembre 2015). La jurisprudence récente des tribunaux genevois va dans le même sens : - CHF 50'000.- à une fillette ayant subi de ses six à 13 ans de nombreux actes d'ordre sexuel de la part de son oncle, tels que cunnilingus, fellations, masturbations contraintes, pénétrations vaginales de ses doigts ; l'auteur avait également frotté son sexe contre le sien jusqu'à éjaculation. Elle souffrait d'un état de stress post-traumatique, se manifestant par des troubles du sommeil, des souvenirs envahissants sous forme de flash-back, un état anxio-dépressif, un recours à des mécanismes de protection psychique tels que le clivage, un comportement auto-agressif et des idéations suicidaires avec des passages à l'acte ( AARP/370/2020 du 11.11.2020) ; - CHF 25'000.- à une fillette de dix ans ayant subi divers actes d'ordre sexuel sur une période de six mois par un cousin ; elle souffrait depuis d'un trouble dépressif récurrent avec tentative de suicide, lequel avait nécessité une médication, et d'un trouble de la personnalité émotionnelle ( AARP/2/2023 du 09.01.2023).</w:t>
      </w:r>
    </w:p>
    <w:p>
      <w:r>
        <w:rPr>
          <w:b/>
        </w:rPr>
        <w:t>E. 6.2</w:t>
      </w:r>
    </w:p>
    <w:p>
      <w:r>
        <w:t>Dans le cas d'espèce, la victime a été contrainte à cinq actes d'ordre sexuel (baisers ; deux fellations ; attouchements ; frottements du pénis entre ses cuisses) alors qu'elle n'avait que 13 ans. Sous réserve des baisers, ces actes étaient graves dans la mesures où ils impliquaient un contact avec les organes génitaux de l'un ou l'autre protagonistes et même une pénétration buccale suivie, pour la seconde, d'une éjaculation faciale, soit une pratique humiliante si elle n'est pas consentie. Néanmoins, ils ont été commis dans la foulée, à une unique occasion. Il ne sera pas retenu qu'ils ont causé le changement d'orientation (passage du niveau R3 au niveau R2) de l'adolescente, dans la mesure où les faits se sont déroulés en fin d'année scolaire, et il est pris acte de ce que la jeune fille dit se porter mieux aujourd'hui, menant une vie sociale et amoureuse propre à son âge, étant cependant relevé qu'elle a tendance à minimiser sa souffrance. En tout état, il est établi par les pièces produites qu'elle a présenté et présente toujours de symptômes d'un état de stress post-traumatique, au point d'avoir encore besoin d'une prise en charge thérapeutique près de trois ans après les faits. L'impact en a donc été important. Dans ces circonstances, l'indemnité pour tort moral de CHF 10'000.- requise paraît adéquate et sera allouée.</w:t>
      </w:r>
    </w:p>
    <w:p>
      <w:r>
        <w:rPr>
          <w:b/>
        </w:rPr>
        <w:t>E. 8</w:t>
      </w:r>
    </w:p>
    <w:p>
      <w:r>
        <w:t>L'intimé succombe, sauf en ce qui concerne l'appel joint du MP, retiré. Il supportera partant 95% des frais de la procédure d'appel (art. 428 al. 1 CPP), lesquels comprennent un émolument d'arrêt de CHF 2'000.- (art. 14 al. 1 let e du Règlement fixant le tarif des frais en matière pénale [RTFMP]) ainsi que, vu le verdict de culpabilité supplémentaire retenu, l'intégralité de ceux de la procédure préliminaire et de première instance (art. 428 al. 3 CPP).</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lequel prescrit un tarif horaire de CHF 200.- pour une cheffe ou un chef d'Étude. Conformément à l'art. 16 al. 2 RAJ, seules les heures nécessaires sont retenues. Elles sont appréciées en fonction notamment de la nature, de l'importance et des difficultés de la cause, de la valeur litigieuse, de la qualité du travail fourni et du résultat obtenu. 9.1.2.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Ce forfait couvre en particulier la rédaction de la déclaration d'appel, qui n'a pas à être motivée et peut donc prendre la forme d'un simple courrier (ordonnance de la Cour des plaintes du Tribunal pénal fédéral BB.2014.51 du 21 novembre 2014 consid. 2.1 ; décisions de la Cour des plaintes du Tribunal pénal fédéral BB.2013.165 du 24 janvier 2014 consid. 4.1.3 et BB.2013.127 du 4 décembre 2013 consid. 4.2). 9.1.4. Le travail consistant en des recherches juridiques, sauf questions particulièrement pointues, n'est pas indemnisé, pour l'État ne devant pas assumer la charge financière de la formation de l'avocat stagiaire, laquelle incombe à son maître de stage, ou la formation continue de l'avocat breveté ( AARP/147/2016 du 17 mars 2016 consid. 7.3 ; AARP/302/2013 du 14 juin 2013 ; AARP/267/2013 du 7 juin 2013). 9.1.5.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9.2</w:t>
      </w:r>
    </w:p>
    <w:p>
      <w:r>
        <w:t>Les opérations suivantes facturées par la conseil juridique gratuite de l'appelante ne donnent pas droit à rémunération, ou rémunération supplémentaire à celle forfaitaire : - l'analyse du jugement, couverte par le forfait, de même que la rédaction de la déclaration d'appel ; - les recherches juridiques du ou de la stagiaire et le courrier y relatif, les premières tenant à sa formation, le second étant aussi couvert par le forfait ; - la consultation du dossier au greffe et la vacation à cette fin, toutes les pièces reçues étant transmises par la juridiction d'appel, ce qu'un simple appel au greffe aurait au besoin permis de vérifier. Par ailleurs, même en tenant compte des particularités du cas, notamment de l'âge de la partie plaignante et du fait que celle-ci eut dû être préparée à son audition en appel, les sept heures et 35 minutes consacrées à des entretiens avec elle sont largement excessives. Trois seront retenues, ce qui dépasse déjà ce qui est usuellement admis. Il en va de même des 14 heures et 15 minutes consacrées en sus au dossier par la cheffe d'Étude, censée expérimentée, connaissant le dossier pour l'avoir soutenu tout au long de la procédure et devant faire preuve d'expédience. 10 seront retenues, ce qui est également déjà large. Aussi, on admettra un total de 13 heures et 15 minutes pour l'activité relevant de l'assistance judiciaire antérieurement aux débats, d'où en définitive une rémunération de CHF 4'505.40 pour 18 heures et demi, au taux de CHF 200.- + le forfait de 10% (CHF 370.-) + le déplacement à l'audience (CHF 100.-) + la TVA au taux de 7.7% pour l'activité antérieure au 31 décembre 2023, estimée à trois heures (CHF 46.20), et au taux de 8.1% pour le surplus (CHF 289.20.-).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