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P/1368/2017 vom 2. Mai 2018</w:t>
      </w:r>
    </w:p>
    <w:p>
      <w:r>
        <w:t>GE Cour de justice, 2018-05-02, FR</w:t>
      </w:r>
    </w:p>
    <w:p>
      <w:r>
        <w:rPr>
          <w:b/>
        </w:rPr>
        <w:t xml:space="preserve">Quelle: </w:t>
      </w:r>
      <w:r>
        <w:t>https://mcp.opencaselaw.ch/entscheid/ge_gerichte_P_1368_2017</w:t>
      </w:r>
    </w:p>
    <w:p>
      <w:r>
        <w:t>FR: GE_GERICHTE P/1368/2017 du 2 mai 2018</w:t>
      </w:r>
    </w:p>
    <w:p>
      <w:r>
        <w:t>IT: GE_GERICHTE P/1368/2017 del 2 maggio 2018</w:t>
      </w:r>
    </w:p>
    <w:p>
      <w:pPr>
        <w:pStyle w:val="Heading2"/>
      </w:pPr>
      <w:r>
        <w:t>Regeste</w:t>
      </w:r>
    </w:p>
    <w:p>
      <w:r>
        <w:t>SÉJOUR ILLÉGAL ; CONSOMMATION DE STUPÉFIANTS ; DÉTENTION DE STUPÉFIANTS ; COCAÏNE ; PEINE PÉCUNIAIRE ; DIRECTIVE 2008/115/CE ; FIXATION DE L'AMENDE ; FIXATION DE LA PEINE ; SITUATION FINANCIÈRE ; FRAIS DE LA PROCÉDURE ; ANTÉCÉDENT ; RENVOI(DROIT DES ÉTRANGERS) ; ACCORD(EXAMEN DES DEMANDES D'ASILE) ; DÉLIT CONTINU ; CONVERSION DE LA PEINE ; SÉQUESTRE(MESURE PROVISIONNELLE) ; PRINCIPE DE LA COUVERTURE DES FRAIS ; DROIT À DES CONDITIONS MINIMALES D'EXISTENCE ; DÉFENSE D'OFFICE | LStup.19a LEtr; LEtr.115.al1.letb; CPP.399.al3; CPP.398; CPP.404; CPP.442.al4; CPP.267.al3; CPP.263.al1.letb; CPP.268; CPP.426; CPP.428; CPP.135; CPP.422.al1 et 2.leta; CP.34; CP.47; CP.106; CP.70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 Directive sur le retour trouve application, dans la mesure où l'appelant est condamné à une simple contravention, outre son séjour illégal (arrêts du Tribunal fédéral 1B_422/2016 du 7 décembre 2016 consid. 2.2 ; 6B_1189/2015 du 13 octobre 2016 consid. 2.1 ; 6B_320/2013 du 29 août 2013 consid. 3.2).</w:t>
      </w:r>
    </w:p>
    <w:p>
      <w:r>
        <w:rPr>
          <w:b/>
        </w:rPr>
        <w:t>E. 2.1</w:t>
      </w:r>
    </w:p>
    <w:p>
      <w:r>
        <w:t>Par arrêté fédéral du 18 juin 2010 (RO 2010 5925), la Suisse a repris la Directive sur le retour.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6B_1172/2014 du 23 novembre 2015 ; 6B_525/2014 du 9 octobre 2014 consid. 1.1 et les références ; 6B_196/2012 du 24 janvier 2013 consid. 2.1 ; 6B_173/2013 du 19 août 2013 consid. 1.1 à 1.4). Il ressort de la jurisprudence européenne que la Directive sur le retour ne s'oppose pas à la pénalisation du séjour illégal du moment que cette dernière ne met pas en péril le renvoi effectif de l'intéressé. Lorsque les autorités administratives ont entrepris toutes les mesures raisonnables pour l'exécution de la décision de retour, mais que celle-ci a échoué en raison du comportement de l'intéressé, la Directive sur le retour n'exclut pas l'application des dispositions pénales nationales (ATF 143 IV 249 consid. 1.6.2 et les références ; arrêts du Tribunal fédéral 1B_422/2016 du 7 décembre 2016 consid. 2.2 ; 6B_196/2012 du 24 janvier 2013 consid. 2.1.3 et 2.2). Une condamnation pénale est également possible lorsque l'étranger n'a pas collaboré à son expulsion ou a évité la prise de mesures administratives en trompant les autorités de la police des étrangers sur sa volonté de quitter la Suisse (arrêt du Tribunal fédéral 1B_422/2016 du 7 décembre 2016 consid. 2.2 et les références). Il doit en aller de même lorsque, comme en l'espèce, l'étranger a été renvoyé de Suisse, mais y est ensuite revenu illégalement. 2.2.2. Le séjour illégal est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 La somme des peines prononcées en raison du délit continu doit ainsi être adaptée à la faute considérée dans son ensemble et ne pas excéder un an, peine maximale prévue par l'art. 115 LEtr.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(arrêt du Tribunal fédéral 6B_715/2015 du 21 mars 2016 consid. 2.6).</w:t>
      </w:r>
    </w:p>
    <w:p>
      <w:r>
        <w:rPr>
          <w:b/>
        </w:rPr>
        <w:t>E. 2.3</w:t>
      </w:r>
    </w:p>
    <w:p>
      <w:r>
        <w:t>Les nouvelles dispositions sur le droit des sanctions sont entrées en vigueur le 1 er janvier 2018. La peine pécuniaire est désormais limitée à 180 jours-amende (art. 34 al. 1 CP). Le prononcé d’une peine privative de liberté même courte est possible pour autant que cette sanction paraît justifiée pour détourner l’auteur d’autres crimes ou délits ou s’il y a lieu de craindre qu’une peine pécuniaire ne puisse pas être exécutée, sans que les conditions du sursis doivent être exclues (art. 41 al. 1 CP). La novelle est ainsi plus sévère sur ces plans et ne sera donc pas prise en considération in casu (art. 2 al. 2 CP).</w:t>
      </w:r>
    </w:p>
    <w:p>
      <w:r>
        <w:rPr>
          <w:b/>
        </w:rPr>
        <w:t>E. 2.3.1</w:t>
      </w:r>
    </w:p>
    <w:p>
      <w:r>
        <w:t>Conformément à l'art. 34 a CP, la peine pécuniaire est fixée en jours-amende dont le nombre est déterminé en fonction de la culpabilité de l'auteur (al. 1). A cette fin, il y a lieu d'appliquer la règle générale de l'art. 47 CP, détaillée infra .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 3 e éd., Bâle 2013, n. 40 ad art. 34 ; arrêt du Tribunal fédéral 6B_541/2007 du 13 mai 2008 consid. 6.3).</w:t>
      </w:r>
    </w:p>
    <w:p>
      <w:r>
        <w:rPr>
          <w:b/>
        </w:rPr>
        <w:t>E. 2.3.2</w:t>
      </w:r>
    </w:p>
    <w:p>
      <w:r>
        <w:t>Selon l'art. 106 CP,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215 ; 119 IV 330 consid. 3). La situation économique déterminante est celle de l'auteur au moment où l'amende est prononcée (arrêt du Tribunal fédéral 6B_547/2012 du 26 mars 2013 consid. 3.4 et les références). La volonté d'empêcher le délinquant de tirer profit de l'infraction qu'il a commise ne doit pas se traduire dans la fixation du montant de l'amende, mais dans l'application des règles régissant la confiscation (ATF 132 IV 140 , consid. 6.3 ; M. DUPUIS / L. MOREILLON / C. PIGUET / S. BERGER / M. MAZOU / V. RODIGARI [éds], Code pénal - Petit commentaire , 2 ème éd., Bâle 2017, n .</w:t>
      </w:r>
    </w:p>
    <w:p>
      <w:r>
        <w:rPr>
          <w:b/>
        </w:rPr>
        <w:t>E. 2.3.3</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Bien que la récidive ne constitue plus un motif d'aggravation obligatoire de la peine, les antécédents continuent de jouer un rôle très important dans la fixation de celle-ci (M. NIGGLI / H. WIPRÄCHTIGER, op. cit. ,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op.cit. ,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w:t>
      </w:r>
    </w:p>
    <w:p>
      <w:r>
        <w:rPr>
          <w:b/>
        </w:rPr>
        <w:t>E. 2.4</w:t>
      </w:r>
    </w:p>
    <w:p>
      <w:r>
        <w:t>En l'espèce, la faute de l'appelant n'est pas de peu de gravité. Il lui est reproché un séjour illégal pour une durée totale d'environ seize mois. Une telle période pénale n'est pas anodine, ce d'autant qu'une décision de renvoi vers F______ a déjà été exécutée à son encontre en décembre 2014. Par son retour en Suisse seulement cinq jours plus tard, l'appelant a démontré son mépris pour la législation sur les étrangers. Sachant parfaitement ne pas être en droit de séjourner dans ce pays, il a en outre été informé que sa situation ne pourra pas y être régularisée dans la mesure où il avait déjà demandé l'asile en F______. Pourtant, il n'a entrepris aucune démarche afin d'y retourner ou de rentrer en H______, son pays d'origine. Sa volonté délictuelle est partant avérée et ancrée. Par ailleurs, s'il argue n'avoir ni blessé ni lésé, ni mis en danger quiconque par son comportement, le préjudice causé à la collectivité par son séjour illégal et sa consommation de stupéfiants, y compris sur le plan matériel, ne doit pas être sous-estimé : un tel comportement mobilise les nombreux acteurs appelés à le réprimer. A cela s'ajoute le fait qu'il a provoqué l'échec de la procédure de renvoi sans pour autant tenter de régulariser sa situation en Suisse, de sorte que sa prise de conscience est inexistante. L'appelant n'a, du reste, évoqué aucun regret, ni donné le moindre signe de ce qu'il entendait modifier son comportement à l'avenir. La collaboration de l'appelant est satisfaisante dans la mesure où il a admis les faits, étant relevé que les preuves matérielles afférentes à son séjour illégal et à la détention de drogue rendaient toute dénégation inutile. Découlant de son statut de clandestin, sa situation personnelle est certes précaire, en particulier sur le plan financier. Toutefois, cet aspect spécifique n'entre pas en considération pour déterminer le nombre de jours-amende. Dès lors, le grief lié à la capacité de l'appelant à payer une peine pécuniaire de 240 unités pénales n'a pas à être pris en considération. En effet, le Tribunal de police en a déjà tenu compte en fixant la quotité de la peine pécuniaire à CHF 10.-, soit au minimum légal. Pour parvenir à cette conclusion, il a estimé crédible la version de l'appelant à propos de sa découverte de la drogue, mais aussi de la provenance de son argent, étant donné qu'il en a ordonné la restitution. En conséquence, la CPAR ne peut revenir sur ces constatations de faits favorables à l'appelant, quand bien même un doute subsiste quant à leur véracité. Depuis son retour en Suisse, l'appelant a été condamné, en 2016, pour une nouvelle entrée illégale en décembre 2016 et le séjour consécutif à une peine pécuniaire de 90 jours-amende. Dès lors, le plafond fixé par la loi n'est pas encore atteint. La CPAR constate que cette dernière condamnation tenait déjà compte des différents éléments susmentionnés, étant donné la durée de la peine pécuniaire. En conséquence, dans la présente affaire, une peine s'élevant à 120 unités pénales est plus proportionnée à la faute commise que celle prononcée en première instance. Quant à l'argumentation de l'appelant, selon laquelle une éventuelle peine privative de liberté de substitution pouvait lui être infligée en cas de non-paiement de la peine pécuniaire, ce qui serait problématique, elle se heurte à sa contribution à l'échec de la procédure de renvoi. Aucune démarche supplémentaire ne peut être exigée des autorités administratives, dès lors qu'elles ont mené la procédure de renvoi à son terme en renvoyant effectivement l'appelant en F______ (cas Dublin). Sa présence en Suisse relève ainsi de son seul comportement. Dans ces circonstances, sa condamnation à une peine pécuniaire, susceptible in fine de se transformer en peine privative de liberté de substitution, ne contrevient pas à la Directive sur le retour. A juste titre, l'appelant ne remet pas en cause le refus du sursis, décidé par le Tribunal de police. Le jugement attaqué sera donc modifié dans le sens qui précède.</w:t>
      </w:r>
    </w:p>
    <w:p>
      <w:r>
        <w:rPr>
          <w:b/>
        </w:rPr>
        <w:t>E. 2.5</w:t>
      </w:r>
    </w:p>
    <w:p>
      <w:r>
        <w:t>Une première fois condamné en 2016 par le Tribunal de police à une amende de CHF 100.- pour consommation de stupéfiants, la faute de l'appelant ne peut être considérée comme dérisoire. Néanmoins, décupler la sanction lors de la seconde infraction est excessif. Par ailleurs, si la situation financière de l'appelant doit être prise en compte pour fixer le montant de l'amende, CHF 1'000.- conjecturent sur ses capacités financières pour les mêmes motifs que ceux liés à la peine pécuniaire. Dès lors, une amende de CHF 300.-, ainsi qu'arrêtée du reste par le MP dans son ordonnance pénale du 15 mars 2017, assortie d'une peine de substitution de trois jours (art. 106 al. 2 CP), est plus adéquate. Par conséquent, le jugement entrepris sera réformé en ce sens.</w:t>
      </w:r>
    </w:p>
    <w:p>
      <w:r>
        <w:rPr>
          <w:b/>
        </w:rPr>
        <w:t>E. 3</w:t>
      </w:r>
    </w:p>
    <w:p>
      <w:r>
        <w:t>3.1.1. Selon l'art. 442 al. 4 CPP, les autorités pénales peuvent compenser les créances portant sur des frais de procédure avec des valeurs séquestrées, notamment. 3.1.2. Selon l'art. 267 al. 3 CPP, la restitution à l'ayant droit des valeurs patrimoniales séquestrées ou leur utilisation pour couvrir les frais sont fixées dans la décision finale. Les valeurs patrimoniales appartenant au prévenu peuvent être mises sous séquestre notamment lorsqu'il est probable qu'elles seront utilisées pour garantir le paiement des frais de procédure, des peines pécuniaires, des amendes et des indemnités (art. 263 al. 1 let. b CPP). Il s'agit alors d'un séquestre en couverture des frais (art. 268 CPP). La mesure peut s'étendre à l'ensemble des biens du prévenu, y compris ceux qui sont sans relation avec l'infraction commise et qui sont d'origine licite (G. PIQUEREZ / A. MACALUSO, Procédure pénale suisse : Manuel , 3 e éd., Zurich 2011, n. 1357 et n. 1407). Selon la systématique du CPP, seul le séquestre en couverture des frais impose de prendre en compte le revenu et la fortune du prévenu, ainsi que d'exclure du séquestre les valeurs insaisissables selon les art. 92 à 94 de la loi fédérale du 11 avril 1889 sur la poursuite pour dettes et la faillite (LP ; RS 821.1 ; art. 268 al. 2 et 3 CPP). Un tel examen s'impose car cette mesure tend exclusivement à la sauvegarde des intérêts publics (ATF 119 Ia 453 consid. 4d ; arrêt du Tribunal fédéral 1B_274/2012 du 11 juillet 2012 consid. 3). Il se justifie donc, sous l'angle du principe de la proportionnalité (art. 197 al. 1 let. c et d CPP), de respecter le minimum vital de la personne touchée par ce type de séquestre (arrêts du Tribunal fédéral 1B_136/2014 du 14 mai 2014 consid. 2.1 ; 1P.21/2007 du 2 mai 2007 consid. 4). Cette obligation est aussi la conséquence du droit fondamental à des conditions minimales d'existence ancré à l'art. 12 Constitution fédérale de la Confédération suisse du 18 avril 1999 (Cst. - RS 101), lequel garantit la couverture des besoins élémentaires pour survivre d'une manière conforme aux exigences de la dignité humaine, tels que la nourriture, le logement, l'habillement et les soins médicaux de base (ATF 139 I 272 consid. 3.2 ; ATF 141 IV 360 consid. 3.1).</w:t>
      </w:r>
    </w:p>
    <w:p>
      <w:r>
        <w:rPr>
          <w:b/>
        </w:rPr>
        <w:t>E. 3.2</w:t>
      </w:r>
    </w:p>
    <w:p>
      <w:r>
        <w:t>Le Tribunal de police a considéré que l'origine délictueuse des sommes saisies en main de l'appelant lors de son interpellation n'avait pas été établie. Leur confiscation ne pouvant par conséquent pas intervenir en application de l'art. 70 CP, il en a ordonné la restitution à ce dernier. Cette décision, non contestée en appel, est acquise à l'appelant. De la sorte le juge de première instance a admis la version de l'appelant, à savoir que cet argent lui avait été donné par son amie pour payer son loyer et se nourrir, soit assurer son minimum vital. Par suite, son affectation au paiement des frais de la procédure ne peut pas intervenir. Le jugement attaqué sera réformé sur ce point.</w:t>
      </w:r>
    </w:p>
    <w:p>
      <w:r>
        <w:rPr>
          <w:b/>
        </w:rPr>
        <w:t>E. 4</w:t>
      </w:r>
    </w:p>
    <w:p>
      <w:r>
        <w:t>2. En l'espèce, l'appelant a été acquitté par le premier juge de délit à la LStup. Toutefois, il a induit l'ouverture d'une procédure pénale à son encontre en détenant 25 gr de cocaïne, quantité qui paraît élevée pour de la consommation. Par ailleurs, l'élucidation des faits liés à un potentiel trafic de drogue n'a guère nécessité d'actes d'instructions supplémentaires. Dans la mesure où le contexte général de l'affaire devait être établi, une perquisition domiciliaire n'était en particulier pas surprenante vu la quantité et le type de substance illicite découverte sur l'appelant. En conséquence, ce dernier sera libéré du paiement de l'émolument complémentaire de CHF 1'000.- vu qu'il obtient gain de cause en appel, mais sera condamné à payer les quatre-cinquièmes des frais de la procédure de première instance, arrêtés à CHF 1'116.-, le solde étant laissé à la charge de l'État. Le jugement attaqué sera réformé sur ce point.</w:t>
      </w:r>
    </w:p>
    <w:p>
      <w:r>
        <w:rPr>
          <w:b/>
        </w:rPr>
        <w:t>E. 5</w:t>
      </w:r>
    </w:p>
    <w:p>
      <w:r>
        <w:t>Vu l'issue de la procédure d'appel et les considérations qui précèdent, les frais y relatifs seront laissés à la charge de l'État (art. 428 CPP).</w:t>
      </w:r>
    </w:p>
    <w:p>
      <w:r>
        <w:rPr>
          <w:b/>
        </w:rPr>
        <w:t>E. 6</w:t>
      </w:r>
    </w:p>
    <w:p>
      <w:r>
        <w:t>.3. En l'occurrence, il convient de constater que le temps accordé pour l'entretien avec le client et la rédaction du mémoire d'appel, tel que déposé devant la CPAR, paraît proportionné. En conclusion, l'indemnité de M e B______ sera arrêtée à CHF 518,40 correspondant à deux heures d'activité au tarif de CHF 200.-/heure (CHF 400.-), plus la majoration forfaitaire de 20% (CHF 80.-) et la TVA (CHF 38,40 au taux de 8% selon la pratique transitoire du Pouvoir judiciaire).</w:t>
      </w:r>
    </w:p>
    <w:p>
      <w:r>
        <w:rPr>
          <w:b/>
        </w:rPr>
        <w:t>E. 7</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